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444C7F" w14:textId="5A254DCA" w:rsidR="003A6F20" w:rsidRDefault="005257E7" w:rsidP="00482DDC">
      <w:pPr>
        <w:spacing w:after="0" w:line="240" w:lineRule="auto"/>
        <w:rPr>
          <w:rFonts w:cs="Calibri"/>
          <w:b/>
          <w:sz w:val="32"/>
        </w:rPr>
      </w:pPr>
      <w:r>
        <w:rPr>
          <w:rFonts w:cs="Calibri"/>
          <w:b/>
          <w:noProof/>
          <w:sz w:val="32"/>
          <w:lang w:val="en-SG" w:eastAsia="zh-CN"/>
        </w:rPr>
        <mc:AlternateContent>
          <mc:Choice Requires="wps">
            <w:drawing>
              <wp:anchor distT="0" distB="0" distL="114300" distR="114300" simplePos="0" relativeHeight="251657728" behindDoc="0" locked="0" layoutInCell="1" allowOverlap="1" wp14:anchorId="48444D64" wp14:editId="55DB53A9">
                <wp:simplePos x="0" y="0"/>
                <wp:positionH relativeFrom="column">
                  <wp:posOffset>5466080</wp:posOffset>
                </wp:positionH>
                <wp:positionV relativeFrom="paragraph">
                  <wp:posOffset>51435</wp:posOffset>
                </wp:positionV>
                <wp:extent cx="1414145" cy="26733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4D67" w14:textId="54001694" w:rsidR="006C6143" w:rsidRPr="0012549E" w:rsidRDefault="007E4CAF" w:rsidP="006C6143">
                            <w:pPr>
                              <w:jc w:val="right"/>
                              <w:rPr>
                                <w:sz w:val="16"/>
                                <w:szCs w:val="16"/>
                              </w:rPr>
                            </w:pPr>
                            <w:r>
                              <w:rPr>
                                <w:sz w:val="16"/>
                                <w:szCs w:val="16"/>
                              </w:rPr>
                              <w:t>REF: SACT</w:t>
                            </w:r>
                            <w:r w:rsidR="0083448A">
                              <w:rPr>
                                <w:sz w:val="16"/>
                                <w:szCs w:val="16"/>
                              </w:rPr>
                              <w:t>09</w:t>
                            </w:r>
                            <w:r w:rsidR="00A9778D">
                              <w:rPr>
                                <w:sz w:val="16"/>
                                <w:szCs w:val="16"/>
                              </w:rPr>
                              <w:t>/20</w:t>
                            </w:r>
                            <w:r w:rsidR="0083448A">
                              <w:rPr>
                                <w:sz w:val="16"/>
                                <w:szCs w:val="16"/>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44D64" id="_x0000_t202" coordsize="21600,21600" o:spt="202" path="m,l,21600r21600,l21600,xe">
                <v:stroke joinstyle="miter"/>
                <v:path gradientshapeok="t" o:connecttype="rect"/>
              </v:shapetype>
              <v:shape id="Text Box 2" o:spid="_x0000_s1026" type="#_x0000_t202" style="position:absolute;margin-left:430.4pt;margin-top:4.05pt;width:111.3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" filled="f" stroked="f">
                <v:textbox>
                  <w:txbxContent>
                    <w:p w14:paraId="48444D67" w14:textId="54001694" w:rsidR="006C6143" w:rsidRPr="0012549E" w:rsidRDefault="007E4CAF" w:rsidP="006C6143">
                      <w:pPr>
                        <w:jc w:val="right"/>
                        <w:rPr>
                          <w:sz w:val="16"/>
                          <w:szCs w:val="16"/>
                        </w:rPr>
                      </w:pPr>
                      <w:r>
                        <w:rPr>
                          <w:sz w:val="16"/>
                          <w:szCs w:val="16"/>
                        </w:rPr>
                        <w:t>REF: SACT</w:t>
                      </w:r>
                      <w:r w:rsidR="0083448A">
                        <w:rPr>
                          <w:sz w:val="16"/>
                          <w:szCs w:val="16"/>
                        </w:rPr>
                        <w:t>09</w:t>
                      </w:r>
                      <w:r w:rsidR="00A9778D">
                        <w:rPr>
                          <w:sz w:val="16"/>
                          <w:szCs w:val="16"/>
                        </w:rPr>
                        <w:t>/20</w:t>
                      </w:r>
                      <w:r w:rsidR="0083448A">
                        <w:rPr>
                          <w:sz w:val="16"/>
                          <w:szCs w:val="16"/>
                        </w:rPr>
                        <w:t>18</w:t>
                      </w:r>
                    </w:p>
                  </w:txbxContent>
                </v:textbox>
              </v:shape>
            </w:pict>
          </mc:Fallback>
        </mc:AlternateContent>
      </w:r>
    </w:p>
    <w:p w14:paraId="48444C80" w14:textId="0D218AA3" w:rsidR="00EB63E6" w:rsidRDefault="007831B0" w:rsidP="00482DDC">
      <w:pPr>
        <w:spacing w:after="0" w:line="240" w:lineRule="auto"/>
        <w:rPr>
          <w:rFonts w:cs="Calibri"/>
          <w:b/>
          <w:sz w:val="32"/>
        </w:rPr>
      </w:pPr>
      <w:r w:rsidRPr="00A81B05">
        <w:rPr>
          <w:rFonts w:cs="Calibri"/>
          <w:b/>
          <w:sz w:val="32"/>
        </w:rPr>
        <w:t>Self-Assessment</w:t>
      </w:r>
      <w:r w:rsidR="00EB63E6" w:rsidRPr="00A81B05">
        <w:rPr>
          <w:rFonts w:cs="Calibri"/>
          <w:b/>
          <w:sz w:val="32"/>
        </w:rPr>
        <w:t xml:space="preserve"> </w:t>
      </w:r>
      <w:r w:rsidR="00ED75F4">
        <w:rPr>
          <w:rFonts w:cs="Calibri"/>
          <w:b/>
          <w:sz w:val="32"/>
        </w:rPr>
        <w:t xml:space="preserve">Basic </w:t>
      </w:r>
      <w:r w:rsidR="00291B88" w:rsidRPr="00A81B05">
        <w:rPr>
          <w:rFonts w:cs="Calibri"/>
          <w:b/>
          <w:sz w:val="32"/>
        </w:rPr>
        <w:t xml:space="preserve">Compliance </w:t>
      </w:r>
      <w:r w:rsidR="0012549E">
        <w:rPr>
          <w:rFonts w:cs="Calibri"/>
          <w:b/>
          <w:sz w:val="32"/>
        </w:rPr>
        <w:t>Checklist</w:t>
      </w:r>
      <w:r w:rsidR="00EB63E6" w:rsidRPr="00A81B05">
        <w:rPr>
          <w:rFonts w:cs="Calibri"/>
          <w:b/>
          <w:sz w:val="32"/>
        </w:rPr>
        <w:t xml:space="preserve"> for Employment Agencies</w:t>
      </w:r>
      <w:r w:rsidR="005326F2">
        <w:rPr>
          <w:rFonts w:cs="Calibri"/>
          <w:b/>
          <w:sz w:val="32"/>
        </w:rPr>
        <w:t xml:space="preserve"> </w:t>
      </w:r>
      <w:r w:rsidR="00A9778D">
        <w:rPr>
          <w:rFonts w:cs="Calibri"/>
          <w:b/>
          <w:sz w:val="32"/>
        </w:rPr>
        <w:t xml:space="preserve">with Comprehensive </w:t>
      </w:r>
      <w:proofErr w:type="spellStart"/>
      <w:r w:rsidR="00A9778D">
        <w:rPr>
          <w:rFonts w:cs="Calibri"/>
          <w:b/>
          <w:sz w:val="32"/>
        </w:rPr>
        <w:t>Licences</w:t>
      </w:r>
      <w:proofErr w:type="spellEnd"/>
      <w:r w:rsidR="0083448A">
        <w:rPr>
          <w:rFonts w:cs="Calibri"/>
          <w:b/>
          <w:sz w:val="32"/>
        </w:rPr>
        <w:t xml:space="preserve"> (All + Non-FDW)</w:t>
      </w:r>
    </w:p>
    <w:p w14:paraId="455814CB" w14:textId="77777777" w:rsidR="000B097C" w:rsidRDefault="000B097C" w:rsidP="009D0E5A">
      <w:pPr>
        <w:spacing w:after="0" w:line="240" w:lineRule="auto"/>
        <w:jc w:val="both"/>
        <w:rPr>
          <w:rFonts w:cs="Calibri"/>
          <w:i/>
          <w:color w:val="365F91" w:themeColor="accent1" w:themeShade="BF"/>
        </w:rPr>
      </w:pPr>
    </w:p>
    <w:p w14:paraId="48444C82" w14:textId="10894466" w:rsidR="003A6F20" w:rsidRDefault="00A81B05" w:rsidP="009D0E5A">
      <w:pPr>
        <w:spacing w:after="0" w:line="240" w:lineRule="auto"/>
        <w:jc w:val="both"/>
        <w:rPr>
          <w:rFonts w:cs="Calibri"/>
          <w:i/>
          <w:color w:val="365F91" w:themeColor="accent1" w:themeShade="BF"/>
        </w:rPr>
      </w:pPr>
      <w:r w:rsidRPr="0012549E">
        <w:rPr>
          <w:rFonts w:cs="Calibri"/>
          <w:i/>
          <w:color w:val="365F91" w:themeColor="accent1" w:themeShade="BF"/>
        </w:rPr>
        <w:t>The</w:t>
      </w:r>
      <w:r w:rsidR="00ED75F4" w:rsidRPr="0012549E">
        <w:rPr>
          <w:rFonts w:cs="Calibri"/>
          <w:i/>
          <w:color w:val="365F91" w:themeColor="accent1" w:themeShade="BF"/>
        </w:rPr>
        <w:t xml:space="preserve"> basic compliance</w:t>
      </w:r>
      <w:r w:rsidRPr="0012549E">
        <w:rPr>
          <w:rFonts w:cs="Calibri"/>
          <w:i/>
          <w:color w:val="365F91" w:themeColor="accent1" w:themeShade="BF"/>
        </w:rPr>
        <w:t xml:space="preserve"> </w:t>
      </w:r>
      <w:r w:rsidR="0012549E" w:rsidRPr="0012549E">
        <w:rPr>
          <w:rFonts w:cs="Calibri"/>
          <w:i/>
          <w:color w:val="365F91" w:themeColor="accent1" w:themeShade="BF"/>
        </w:rPr>
        <w:t>checklist</w:t>
      </w:r>
      <w:r w:rsidRPr="0012549E">
        <w:rPr>
          <w:rFonts w:cs="Calibri"/>
          <w:i/>
          <w:color w:val="365F91" w:themeColor="accent1" w:themeShade="BF"/>
        </w:rPr>
        <w:t xml:space="preserve"> </w:t>
      </w:r>
      <w:r w:rsidR="00482DDC" w:rsidRPr="0012549E">
        <w:rPr>
          <w:rFonts w:cs="Calibri"/>
          <w:i/>
          <w:color w:val="365F91" w:themeColor="accent1" w:themeShade="BF"/>
        </w:rPr>
        <w:t>assist</w:t>
      </w:r>
      <w:r w:rsidR="006B0FA0">
        <w:rPr>
          <w:rFonts w:cs="Calibri"/>
          <w:i/>
          <w:color w:val="365F91" w:themeColor="accent1" w:themeShade="BF"/>
        </w:rPr>
        <w:t>s</w:t>
      </w:r>
      <w:r w:rsidR="00482DDC" w:rsidRPr="0012549E">
        <w:rPr>
          <w:rFonts w:cs="Calibri"/>
          <w:i/>
          <w:color w:val="365F91" w:themeColor="accent1" w:themeShade="BF"/>
        </w:rPr>
        <w:t xml:space="preserve"> you to </w:t>
      </w:r>
      <w:r w:rsidR="007831B0" w:rsidRPr="0012549E">
        <w:rPr>
          <w:rFonts w:cs="Calibri"/>
          <w:i/>
          <w:color w:val="365F91" w:themeColor="accent1" w:themeShade="BF"/>
        </w:rPr>
        <w:t>recogni</w:t>
      </w:r>
      <w:r w:rsidR="007831B0">
        <w:rPr>
          <w:rFonts w:cs="Calibri"/>
          <w:i/>
          <w:color w:val="365F91" w:themeColor="accent1" w:themeShade="BF"/>
        </w:rPr>
        <w:t>z</w:t>
      </w:r>
      <w:r w:rsidR="007831B0" w:rsidRPr="0012549E">
        <w:rPr>
          <w:rFonts w:cs="Calibri"/>
          <w:i/>
          <w:color w:val="365F91" w:themeColor="accent1" w:themeShade="BF"/>
        </w:rPr>
        <w:t>e</w:t>
      </w:r>
      <w:r w:rsidRPr="0012549E">
        <w:rPr>
          <w:rFonts w:cs="Calibri"/>
          <w:i/>
          <w:color w:val="365F91" w:themeColor="accent1" w:themeShade="BF"/>
        </w:rPr>
        <w:t xml:space="preserve"> gaps in your employment agency’s compliance to the Employment Agencies Act and its subsidiary legislation</w:t>
      </w:r>
      <w:r w:rsidR="006B3DB4">
        <w:rPr>
          <w:rFonts w:cs="Calibri"/>
          <w:i/>
          <w:color w:val="365F91" w:themeColor="accent1" w:themeShade="BF"/>
        </w:rPr>
        <w:t xml:space="preserve">, which can be found at </w:t>
      </w:r>
      <w:r w:rsidR="006B3DB4" w:rsidRPr="006B3DB4">
        <w:rPr>
          <w:rFonts w:cs="Calibri"/>
          <w:i/>
          <w:color w:val="365F91" w:themeColor="accent1" w:themeShade="BF"/>
        </w:rPr>
        <w:t>http://www.mom.gov.sg/legislation</w:t>
      </w:r>
      <w:r w:rsidR="009D0E5A">
        <w:rPr>
          <w:rFonts w:cs="Calibri"/>
          <w:i/>
          <w:color w:val="365F91" w:themeColor="accent1" w:themeShade="BF"/>
        </w:rPr>
        <w:t>/employment-agencies</w:t>
      </w:r>
      <w:r w:rsidRPr="0012549E">
        <w:rPr>
          <w:rFonts w:cs="Calibri"/>
          <w:i/>
          <w:color w:val="365F91" w:themeColor="accent1" w:themeShade="BF"/>
        </w:rPr>
        <w:t xml:space="preserve">. It is </w:t>
      </w:r>
      <w:r w:rsidR="006B0FA0">
        <w:rPr>
          <w:rFonts w:cs="Calibri"/>
          <w:i/>
          <w:color w:val="365F91" w:themeColor="accent1" w:themeShade="BF"/>
        </w:rPr>
        <w:t xml:space="preserve">however </w:t>
      </w:r>
      <w:r w:rsidRPr="0012549E">
        <w:rPr>
          <w:rFonts w:cs="Calibri"/>
          <w:i/>
          <w:color w:val="365F91" w:themeColor="accent1" w:themeShade="BF"/>
        </w:rPr>
        <w:t>no</w:t>
      </w:r>
      <w:r w:rsidR="006B0FA0">
        <w:rPr>
          <w:rFonts w:cs="Calibri"/>
          <w:i/>
          <w:color w:val="365F91" w:themeColor="accent1" w:themeShade="BF"/>
        </w:rPr>
        <w:t>t</w:t>
      </w:r>
      <w:r w:rsidRPr="0012549E">
        <w:rPr>
          <w:rFonts w:cs="Calibri"/>
          <w:i/>
          <w:color w:val="365F91" w:themeColor="accent1" w:themeShade="BF"/>
        </w:rPr>
        <w:t xml:space="preserve"> exhaustive</w:t>
      </w:r>
      <w:r w:rsidR="006B0FA0">
        <w:rPr>
          <w:rFonts w:cs="Calibri"/>
          <w:i/>
          <w:color w:val="365F91" w:themeColor="accent1" w:themeShade="BF"/>
        </w:rPr>
        <w:t>, but</w:t>
      </w:r>
      <w:r w:rsidR="00F14BDC" w:rsidRPr="0012549E">
        <w:rPr>
          <w:rFonts w:cs="Calibri"/>
          <w:i/>
          <w:color w:val="365F91" w:themeColor="accent1" w:themeShade="BF"/>
        </w:rPr>
        <w:t xml:space="preserve"> </w:t>
      </w:r>
      <w:r w:rsidR="00663D3F" w:rsidRPr="0012549E">
        <w:rPr>
          <w:rFonts w:cs="Calibri"/>
          <w:i/>
          <w:color w:val="365F91" w:themeColor="accent1" w:themeShade="BF"/>
        </w:rPr>
        <w:t>provides a starting point for employment agencies to perform self-assessment</w:t>
      </w:r>
      <w:r w:rsidR="009F45BE" w:rsidRPr="0012549E">
        <w:rPr>
          <w:rFonts w:cs="Calibri"/>
          <w:i/>
          <w:color w:val="365F91" w:themeColor="accent1" w:themeShade="BF"/>
        </w:rPr>
        <w:t xml:space="preserve">. </w:t>
      </w:r>
      <w:r w:rsidR="00B02A61">
        <w:rPr>
          <w:rFonts w:cs="Calibri"/>
          <w:i/>
          <w:color w:val="365F91" w:themeColor="accent1" w:themeShade="BF"/>
        </w:rPr>
        <w:t>Please note that relevant forms mentioned can be found at the MOM website</w:t>
      </w:r>
      <w:r w:rsidR="00395074">
        <w:rPr>
          <w:rFonts w:cs="Calibri"/>
          <w:i/>
          <w:color w:val="365F91" w:themeColor="accent1" w:themeShade="BF"/>
        </w:rPr>
        <w:t xml:space="preserve"> at </w:t>
      </w:r>
      <w:hyperlink r:id="rId8" w:history="1">
        <w:r w:rsidR="000B097C" w:rsidRPr="00704657">
          <w:rPr>
            <w:rStyle w:val="Hyperlink"/>
            <w:rFonts w:cs="Calibri"/>
            <w:i/>
          </w:rPr>
          <w:t>www.mom.gov.sg/forms</w:t>
        </w:r>
      </w:hyperlink>
      <w:r w:rsidR="00B02A61">
        <w:rPr>
          <w:rFonts w:cs="Calibri"/>
          <w:i/>
          <w:color w:val="365F91" w:themeColor="accent1" w:themeShade="BF"/>
        </w:rPr>
        <w:t>.</w:t>
      </w:r>
    </w:p>
    <w:p w14:paraId="48444C84" w14:textId="77777777" w:rsidR="007E4D40" w:rsidRPr="0012549E" w:rsidRDefault="007E4D40" w:rsidP="00482DDC">
      <w:pPr>
        <w:spacing w:after="0" w:line="240" w:lineRule="auto"/>
        <w:rPr>
          <w:rFonts w:cs="Calibri"/>
          <w:i/>
          <w:color w:val="365F91" w:themeColor="accent1" w:themeShade="BF"/>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gridCol w:w="850"/>
        <w:gridCol w:w="850"/>
      </w:tblGrid>
      <w:tr w:rsidR="000F0D0A" w:rsidRPr="000F0D0A" w14:paraId="48444C89" w14:textId="77777777" w:rsidTr="0012549E">
        <w:tc>
          <w:tcPr>
            <w:tcW w:w="534" w:type="dxa"/>
            <w:tcBorders>
              <w:bottom w:val="single" w:sz="4" w:space="0" w:color="auto"/>
            </w:tcBorders>
            <w:shd w:val="clear" w:color="auto" w:fill="215868" w:themeFill="accent5" w:themeFillShade="80"/>
          </w:tcPr>
          <w:p w14:paraId="48444C85" w14:textId="77777777" w:rsidR="000F0D0A" w:rsidRDefault="00291B88" w:rsidP="00482DDC">
            <w:pPr>
              <w:spacing w:after="0" w:line="264" w:lineRule="auto"/>
              <w:jc w:val="center"/>
              <w:rPr>
                <w:rFonts w:cs="Calibri"/>
                <w:b/>
                <w:color w:val="FFFFFF"/>
              </w:rPr>
            </w:pPr>
            <w:r>
              <w:rPr>
                <w:rFonts w:cs="Calibri"/>
                <w:b/>
                <w:color w:val="FFFFFF"/>
              </w:rPr>
              <w:t>No</w:t>
            </w:r>
          </w:p>
        </w:tc>
        <w:tc>
          <w:tcPr>
            <w:tcW w:w="8505" w:type="dxa"/>
            <w:tcBorders>
              <w:bottom w:val="single" w:sz="4" w:space="0" w:color="auto"/>
            </w:tcBorders>
            <w:shd w:val="clear" w:color="auto" w:fill="215868" w:themeFill="accent5" w:themeFillShade="80"/>
          </w:tcPr>
          <w:p w14:paraId="48444C86" w14:textId="77777777" w:rsidR="000F0D0A" w:rsidRPr="000F0D0A" w:rsidRDefault="000F0D0A" w:rsidP="00482DDC">
            <w:pPr>
              <w:spacing w:after="0" w:line="264" w:lineRule="auto"/>
              <w:rPr>
                <w:rFonts w:cs="Calibri"/>
                <w:b/>
                <w:color w:val="FFFFFF"/>
              </w:rPr>
            </w:pPr>
            <w:r>
              <w:rPr>
                <w:rFonts w:cs="Calibri"/>
                <w:b/>
                <w:color w:val="FFFFFF"/>
              </w:rPr>
              <w:t>Compliance Items</w:t>
            </w:r>
          </w:p>
        </w:tc>
        <w:tc>
          <w:tcPr>
            <w:tcW w:w="850" w:type="dxa"/>
            <w:tcBorders>
              <w:bottom w:val="single" w:sz="4" w:space="0" w:color="auto"/>
            </w:tcBorders>
            <w:shd w:val="clear" w:color="auto" w:fill="215868" w:themeFill="accent5" w:themeFillShade="80"/>
          </w:tcPr>
          <w:p w14:paraId="48444C87" w14:textId="77777777" w:rsidR="000F0D0A" w:rsidRPr="000F0D0A" w:rsidRDefault="000F0D0A" w:rsidP="00482DDC">
            <w:pPr>
              <w:spacing w:after="0" w:line="264" w:lineRule="auto"/>
              <w:jc w:val="center"/>
              <w:rPr>
                <w:rFonts w:cs="Calibri"/>
                <w:b/>
                <w:color w:val="FFFFFF"/>
              </w:rPr>
            </w:pPr>
            <w:r w:rsidRPr="000F0D0A">
              <w:rPr>
                <w:rFonts w:cs="Calibri"/>
                <w:b/>
                <w:color w:val="FFFFFF"/>
              </w:rPr>
              <w:t>Yes</w:t>
            </w:r>
          </w:p>
        </w:tc>
        <w:tc>
          <w:tcPr>
            <w:tcW w:w="850" w:type="dxa"/>
            <w:tcBorders>
              <w:bottom w:val="single" w:sz="4" w:space="0" w:color="auto"/>
            </w:tcBorders>
            <w:shd w:val="clear" w:color="auto" w:fill="215868" w:themeFill="accent5" w:themeFillShade="80"/>
          </w:tcPr>
          <w:p w14:paraId="48444C88" w14:textId="77777777" w:rsidR="000F0D0A" w:rsidRPr="000F0D0A" w:rsidRDefault="000F0D0A" w:rsidP="00482DDC">
            <w:pPr>
              <w:spacing w:after="0" w:line="264" w:lineRule="auto"/>
              <w:jc w:val="center"/>
              <w:rPr>
                <w:rFonts w:cs="Calibri"/>
                <w:b/>
                <w:color w:val="FFFFFF"/>
              </w:rPr>
            </w:pPr>
            <w:r w:rsidRPr="000F0D0A">
              <w:rPr>
                <w:rFonts w:cs="Calibri"/>
                <w:b/>
                <w:color w:val="FFFFFF"/>
              </w:rPr>
              <w:t>No</w:t>
            </w:r>
          </w:p>
        </w:tc>
      </w:tr>
      <w:tr w:rsidR="00645981" w:rsidRPr="00A81B05" w14:paraId="48444C8B" w14:textId="77777777" w:rsidTr="0012549E">
        <w:tc>
          <w:tcPr>
            <w:tcW w:w="10739" w:type="dxa"/>
            <w:gridSpan w:val="4"/>
            <w:shd w:val="clear" w:color="auto" w:fill="31849B" w:themeFill="accent5" w:themeFillShade="BF"/>
          </w:tcPr>
          <w:p w14:paraId="48444C8A" w14:textId="77777777" w:rsidR="00645981" w:rsidRPr="00EE2151" w:rsidRDefault="0040127F" w:rsidP="00645981">
            <w:pPr>
              <w:spacing w:after="0" w:line="264" w:lineRule="auto"/>
              <w:rPr>
                <w:rFonts w:cs="Calibri"/>
                <w:b/>
                <w:color w:val="FFFFFF"/>
              </w:rPr>
            </w:pPr>
            <w:r w:rsidRPr="00EE2151">
              <w:rPr>
                <w:rFonts w:cs="Calibri"/>
                <w:b/>
                <w:color w:val="FFFFFF"/>
              </w:rPr>
              <w:t xml:space="preserve">Ensuring </w:t>
            </w:r>
            <w:r w:rsidR="00645981" w:rsidRPr="00EE2151">
              <w:rPr>
                <w:rFonts w:cs="Calibri"/>
                <w:b/>
                <w:color w:val="FFFFFF"/>
              </w:rPr>
              <w:t>Professionalism of EA Industry</w:t>
            </w:r>
          </w:p>
        </w:tc>
      </w:tr>
      <w:tr w:rsidR="000F0D0A" w:rsidRPr="00B538FF" w14:paraId="48444C94" w14:textId="77777777" w:rsidTr="000C7E34">
        <w:tc>
          <w:tcPr>
            <w:tcW w:w="534" w:type="dxa"/>
          </w:tcPr>
          <w:p w14:paraId="48444C8C" w14:textId="77777777" w:rsidR="000F0D0A" w:rsidRPr="008B65B5" w:rsidRDefault="00C00DD5" w:rsidP="00482DDC">
            <w:pPr>
              <w:spacing w:after="0" w:line="264" w:lineRule="auto"/>
              <w:jc w:val="center"/>
              <w:rPr>
                <w:rFonts w:cs="Calibri"/>
              </w:rPr>
            </w:pPr>
            <w:r w:rsidRPr="008B65B5">
              <w:rPr>
                <w:rFonts w:cs="Calibri"/>
              </w:rPr>
              <w:t>1</w:t>
            </w:r>
          </w:p>
        </w:tc>
        <w:tc>
          <w:tcPr>
            <w:tcW w:w="8505" w:type="dxa"/>
          </w:tcPr>
          <w:p w14:paraId="29A437D5" w14:textId="30B977BD" w:rsidR="008B65B5" w:rsidRPr="008B65B5" w:rsidRDefault="008B65B5" w:rsidP="008B65B5">
            <w:pPr>
              <w:spacing w:after="0" w:line="240" w:lineRule="auto"/>
              <w:rPr>
                <w:rFonts w:cs="Calibri"/>
                <w:color w:val="E36C0A" w:themeColor="accent6" w:themeShade="BF"/>
                <w:u w:val="single"/>
              </w:rPr>
            </w:pPr>
            <w:r w:rsidRPr="008B65B5">
              <w:rPr>
                <w:rFonts w:cs="Calibri"/>
                <w:color w:val="E36C0A" w:themeColor="accent6" w:themeShade="BF"/>
                <w:u w:val="single"/>
              </w:rPr>
              <w:t xml:space="preserve">EA Name and </w:t>
            </w:r>
            <w:proofErr w:type="spellStart"/>
            <w:r w:rsidRPr="008B65B5">
              <w:rPr>
                <w:rFonts w:cs="Calibri"/>
                <w:color w:val="E36C0A" w:themeColor="accent6" w:themeShade="BF"/>
                <w:u w:val="single"/>
              </w:rPr>
              <w:t>Licence</w:t>
            </w:r>
            <w:proofErr w:type="spellEnd"/>
            <w:r w:rsidRPr="008B65B5">
              <w:rPr>
                <w:rFonts w:cs="Calibri"/>
                <w:color w:val="E36C0A" w:themeColor="accent6" w:themeShade="BF"/>
                <w:u w:val="single"/>
              </w:rPr>
              <w:t xml:space="preserve"> Number</w:t>
            </w:r>
            <w:r w:rsidR="007E4CAF">
              <w:rPr>
                <w:rFonts w:cs="Calibri"/>
                <w:color w:val="E36C0A" w:themeColor="accent6" w:themeShade="BF"/>
                <w:u w:val="single"/>
              </w:rPr>
              <w:t xml:space="preserve"> </w:t>
            </w:r>
            <w:r w:rsidR="007E4CAF" w:rsidRPr="00DE7212">
              <w:rPr>
                <w:rFonts w:cs="Calibri"/>
                <w:i/>
                <w:sz w:val="16"/>
                <w:szCs w:val="16"/>
              </w:rPr>
              <w:t>(</w:t>
            </w:r>
            <w:proofErr w:type="spellStart"/>
            <w:r w:rsidR="007E4CAF" w:rsidRPr="00DE7212">
              <w:rPr>
                <w:rFonts w:cs="Calibri"/>
                <w:i/>
                <w:sz w:val="16"/>
                <w:szCs w:val="16"/>
              </w:rPr>
              <w:t>wef</w:t>
            </w:r>
            <w:proofErr w:type="spellEnd"/>
            <w:r w:rsidR="007E4CAF" w:rsidRPr="00DE7212">
              <w:rPr>
                <w:rFonts w:cs="Calibri"/>
                <w:i/>
                <w:sz w:val="16"/>
                <w:szCs w:val="16"/>
              </w:rPr>
              <w:t xml:space="preserve"> 1 Jun 16)</w:t>
            </w:r>
          </w:p>
          <w:p w14:paraId="1BFEB8E1" w14:textId="77777777" w:rsidR="008B65B5" w:rsidRPr="008B65B5" w:rsidRDefault="008B65B5" w:rsidP="008B65B5">
            <w:pPr>
              <w:spacing w:after="0" w:line="240" w:lineRule="auto"/>
              <w:rPr>
                <w:rFonts w:cs="Calibri"/>
              </w:rPr>
            </w:pPr>
            <w:r w:rsidRPr="008B65B5">
              <w:rPr>
                <w:rFonts w:cs="Calibri"/>
              </w:rPr>
              <w:t xml:space="preserve">The EA name and </w:t>
            </w:r>
            <w:proofErr w:type="spellStart"/>
            <w:r w:rsidRPr="008B65B5">
              <w:rPr>
                <w:rFonts w:cs="Calibri"/>
              </w:rPr>
              <w:t>licence</w:t>
            </w:r>
            <w:proofErr w:type="spellEnd"/>
            <w:r w:rsidRPr="008B65B5">
              <w:rPr>
                <w:rFonts w:cs="Calibri"/>
              </w:rPr>
              <w:t xml:space="preserve"> number are inserted on:</w:t>
            </w:r>
          </w:p>
          <w:p w14:paraId="160742B1" w14:textId="77777777" w:rsidR="008B65B5" w:rsidRPr="008B65B5" w:rsidRDefault="008B65B5" w:rsidP="008B65B5">
            <w:pPr>
              <w:pStyle w:val="ListParagraph"/>
              <w:numPr>
                <w:ilvl w:val="0"/>
                <w:numId w:val="3"/>
              </w:numPr>
              <w:spacing w:after="0" w:line="240" w:lineRule="auto"/>
              <w:rPr>
                <w:rFonts w:cs="Calibri"/>
              </w:rPr>
            </w:pPr>
            <w:r w:rsidRPr="008B65B5">
              <w:rPr>
                <w:rFonts w:cs="Calibri"/>
              </w:rPr>
              <w:t xml:space="preserve">any signboard bearing the name of the EA and is visible to public </w:t>
            </w:r>
          </w:p>
          <w:p w14:paraId="2F96478F" w14:textId="77777777" w:rsidR="008B65B5" w:rsidRPr="008B65B5" w:rsidRDefault="008B65B5" w:rsidP="008B65B5">
            <w:pPr>
              <w:pStyle w:val="ListParagraph"/>
              <w:numPr>
                <w:ilvl w:val="0"/>
                <w:numId w:val="3"/>
              </w:numPr>
              <w:spacing w:after="0" w:line="240" w:lineRule="auto"/>
              <w:rPr>
                <w:rFonts w:cs="Calibri"/>
              </w:rPr>
            </w:pPr>
            <w:r w:rsidRPr="008B65B5">
              <w:rPr>
                <w:rFonts w:cs="Calibri"/>
              </w:rPr>
              <w:t>any document issued or sent to any other party in the course of the EA’s performance of any function as an EA (including but not limited to invoices, receipts, service agreements, employment contracts and correspondence (whether electronic or otherwise)</w:t>
            </w:r>
          </w:p>
          <w:p w14:paraId="334408D3" w14:textId="77777777" w:rsidR="008B65B5" w:rsidRPr="008B65B5" w:rsidRDefault="008B65B5" w:rsidP="008B65B5">
            <w:pPr>
              <w:pStyle w:val="ListParagraph"/>
              <w:numPr>
                <w:ilvl w:val="0"/>
                <w:numId w:val="3"/>
              </w:numPr>
              <w:spacing w:after="0" w:line="240" w:lineRule="auto"/>
              <w:rPr>
                <w:rFonts w:cs="Calibri"/>
              </w:rPr>
            </w:pPr>
            <w:r w:rsidRPr="008B65B5">
              <w:rPr>
                <w:rFonts w:cs="Calibri"/>
              </w:rPr>
              <w:t>any advertisement publicizing any work or activity for or in connection with the employment of persons (such as but not limited to the EA’s website, name cards, pamphlets and publicity material on any social media platform)</w:t>
            </w:r>
          </w:p>
          <w:p w14:paraId="48444C91" w14:textId="54135241" w:rsidR="007E4D40" w:rsidRPr="008B65B5" w:rsidRDefault="008B65B5" w:rsidP="008B65B5">
            <w:pPr>
              <w:pStyle w:val="ListParagraph"/>
              <w:numPr>
                <w:ilvl w:val="0"/>
                <w:numId w:val="3"/>
              </w:numPr>
              <w:spacing w:after="0" w:line="240" w:lineRule="auto"/>
              <w:rPr>
                <w:rFonts w:cs="Calibri"/>
              </w:rPr>
            </w:pPr>
            <w:r w:rsidRPr="008B65B5">
              <w:rPr>
                <w:rFonts w:cs="Calibri"/>
              </w:rPr>
              <w:t>any advertisement (whether electronic or otherwise) distributed to the public by any other person on the licensee’s behalf</w:t>
            </w:r>
          </w:p>
        </w:tc>
        <w:tc>
          <w:tcPr>
            <w:tcW w:w="850" w:type="dxa"/>
          </w:tcPr>
          <w:p w14:paraId="48444C92" w14:textId="77777777" w:rsidR="000F0D0A" w:rsidRPr="00B538FF" w:rsidRDefault="000F0D0A" w:rsidP="00482DDC">
            <w:pPr>
              <w:spacing w:after="0" w:line="264" w:lineRule="auto"/>
              <w:jc w:val="center"/>
              <w:rPr>
                <w:rFonts w:cs="Calibri"/>
                <w:highlight w:val="yellow"/>
              </w:rPr>
            </w:pPr>
          </w:p>
        </w:tc>
        <w:tc>
          <w:tcPr>
            <w:tcW w:w="850" w:type="dxa"/>
          </w:tcPr>
          <w:p w14:paraId="48444C93" w14:textId="77777777" w:rsidR="000F0D0A" w:rsidRPr="00B538FF" w:rsidRDefault="000F0D0A" w:rsidP="00482DDC">
            <w:pPr>
              <w:spacing w:after="0" w:line="264" w:lineRule="auto"/>
              <w:jc w:val="center"/>
              <w:rPr>
                <w:rFonts w:cs="Calibri"/>
                <w:highlight w:val="yellow"/>
              </w:rPr>
            </w:pPr>
          </w:p>
        </w:tc>
      </w:tr>
      <w:tr w:rsidR="008B65B5" w:rsidRPr="00A81B05" w14:paraId="48444C9A" w14:textId="77777777" w:rsidTr="000C7E34">
        <w:tc>
          <w:tcPr>
            <w:tcW w:w="534" w:type="dxa"/>
          </w:tcPr>
          <w:p w14:paraId="48444C95" w14:textId="0A3F4B3D" w:rsidR="008B65B5" w:rsidRPr="008B65B5" w:rsidRDefault="008B65B5" w:rsidP="008B65B5">
            <w:pPr>
              <w:spacing w:after="0" w:line="264" w:lineRule="auto"/>
              <w:jc w:val="center"/>
              <w:rPr>
                <w:rFonts w:cs="Calibri"/>
                <w:highlight w:val="yellow"/>
              </w:rPr>
            </w:pPr>
            <w:r w:rsidRPr="008B65B5">
              <w:rPr>
                <w:rFonts w:cs="Calibri"/>
              </w:rPr>
              <w:t>2</w:t>
            </w:r>
          </w:p>
        </w:tc>
        <w:tc>
          <w:tcPr>
            <w:tcW w:w="8505" w:type="dxa"/>
          </w:tcPr>
          <w:p w14:paraId="4516E51E" w14:textId="4877D727" w:rsidR="008B65B5" w:rsidRPr="008B65B5" w:rsidRDefault="008B65B5" w:rsidP="008B65B5">
            <w:pPr>
              <w:spacing w:after="0" w:line="240" w:lineRule="auto"/>
              <w:rPr>
                <w:rFonts w:cs="Calibri"/>
                <w:b/>
                <w:color w:val="E36C0A" w:themeColor="accent6" w:themeShade="BF"/>
                <w:u w:val="single"/>
              </w:rPr>
            </w:pPr>
            <w:r w:rsidRPr="008B65B5">
              <w:rPr>
                <w:rFonts w:cs="Calibri"/>
                <w:color w:val="E36C0A" w:themeColor="accent6" w:themeShade="BF"/>
                <w:u w:val="single"/>
              </w:rPr>
              <w:t>EA Personnel Name and Registration Number</w:t>
            </w:r>
            <w:r w:rsidR="007E4CAF" w:rsidRPr="00DE7212">
              <w:rPr>
                <w:rFonts w:cs="Calibri"/>
                <w:color w:val="E36C0A" w:themeColor="accent6" w:themeShade="BF"/>
              </w:rPr>
              <w:t xml:space="preserve"> </w:t>
            </w:r>
            <w:r w:rsidR="007E4CAF" w:rsidRPr="00DE7212">
              <w:rPr>
                <w:rFonts w:cs="Calibri"/>
                <w:i/>
                <w:sz w:val="16"/>
                <w:szCs w:val="16"/>
              </w:rPr>
              <w:t>(</w:t>
            </w:r>
            <w:proofErr w:type="spellStart"/>
            <w:r w:rsidR="007E4CAF" w:rsidRPr="00DE7212">
              <w:rPr>
                <w:rFonts w:cs="Calibri"/>
                <w:i/>
                <w:sz w:val="16"/>
                <w:szCs w:val="16"/>
              </w:rPr>
              <w:t>wef</w:t>
            </w:r>
            <w:proofErr w:type="spellEnd"/>
            <w:r w:rsidR="007E4CAF" w:rsidRPr="00DE7212">
              <w:rPr>
                <w:rFonts w:cs="Calibri"/>
                <w:i/>
                <w:sz w:val="16"/>
                <w:szCs w:val="16"/>
              </w:rPr>
              <w:t xml:space="preserve"> 1 Jun 16)</w:t>
            </w:r>
          </w:p>
          <w:p w14:paraId="48444C97" w14:textId="1A6096A1" w:rsidR="008B65B5" w:rsidRPr="008B65B5" w:rsidRDefault="008B65B5" w:rsidP="008B65B5">
            <w:pPr>
              <w:spacing w:after="0" w:line="240" w:lineRule="auto"/>
              <w:rPr>
                <w:rFonts w:cs="Calibri"/>
              </w:rPr>
            </w:pPr>
            <w:r w:rsidRPr="008B65B5">
              <w:rPr>
                <w:rFonts w:cs="Calibri"/>
              </w:rPr>
              <w:t>The full names and registration numbers of EA personnel, as stipulated in the EA personnel’s registration cards are inserted in any document or advertisement referred to under item 1 of this checklist.</w:t>
            </w:r>
          </w:p>
        </w:tc>
        <w:tc>
          <w:tcPr>
            <w:tcW w:w="850" w:type="dxa"/>
          </w:tcPr>
          <w:p w14:paraId="48444C98" w14:textId="77777777" w:rsidR="008B65B5" w:rsidRPr="00A81B05" w:rsidRDefault="008B65B5" w:rsidP="008B65B5">
            <w:pPr>
              <w:spacing w:after="0" w:line="264" w:lineRule="auto"/>
              <w:jc w:val="center"/>
              <w:rPr>
                <w:rFonts w:cs="Calibri"/>
              </w:rPr>
            </w:pPr>
          </w:p>
        </w:tc>
        <w:tc>
          <w:tcPr>
            <w:tcW w:w="850" w:type="dxa"/>
          </w:tcPr>
          <w:p w14:paraId="48444C99" w14:textId="77777777" w:rsidR="008B65B5" w:rsidRPr="00A81B05" w:rsidRDefault="008B65B5" w:rsidP="008B65B5">
            <w:pPr>
              <w:spacing w:after="0" w:line="264" w:lineRule="auto"/>
              <w:jc w:val="center"/>
              <w:rPr>
                <w:rFonts w:cs="Calibri"/>
              </w:rPr>
            </w:pPr>
          </w:p>
        </w:tc>
      </w:tr>
      <w:tr w:rsidR="000F0D0A" w:rsidRPr="00A81B05" w14:paraId="48444CA0" w14:textId="77777777" w:rsidTr="000C7E34">
        <w:tc>
          <w:tcPr>
            <w:tcW w:w="534" w:type="dxa"/>
          </w:tcPr>
          <w:p w14:paraId="48444C9B" w14:textId="77777777" w:rsidR="000F0D0A" w:rsidRPr="00A81B05" w:rsidRDefault="00C00DD5" w:rsidP="00482DDC">
            <w:pPr>
              <w:spacing w:after="0" w:line="264" w:lineRule="auto"/>
              <w:jc w:val="center"/>
              <w:rPr>
                <w:rFonts w:cs="Calibri"/>
              </w:rPr>
            </w:pPr>
            <w:r>
              <w:rPr>
                <w:rFonts w:cs="Calibri"/>
              </w:rPr>
              <w:t>3</w:t>
            </w:r>
          </w:p>
        </w:tc>
        <w:tc>
          <w:tcPr>
            <w:tcW w:w="8505" w:type="dxa"/>
          </w:tcPr>
          <w:p w14:paraId="48444C9C" w14:textId="77777777" w:rsidR="00FE224C" w:rsidRPr="00116EFC" w:rsidRDefault="00EE2151" w:rsidP="0016050B">
            <w:pPr>
              <w:spacing w:after="0" w:line="240" w:lineRule="auto"/>
              <w:rPr>
                <w:rFonts w:cs="Calibri"/>
                <w:color w:val="E36C0A" w:themeColor="accent6" w:themeShade="BF"/>
                <w:u w:val="single"/>
              </w:rPr>
            </w:pPr>
            <w:r w:rsidRPr="00116EFC">
              <w:rPr>
                <w:rFonts w:cs="Calibri"/>
                <w:color w:val="E36C0A" w:themeColor="accent6" w:themeShade="BF"/>
                <w:u w:val="single"/>
              </w:rPr>
              <w:t>Personnel</w:t>
            </w:r>
            <w:r w:rsidR="00FE224C" w:rsidRPr="00116EFC">
              <w:rPr>
                <w:rFonts w:cs="Calibri"/>
                <w:color w:val="E36C0A" w:themeColor="accent6" w:themeShade="BF"/>
                <w:u w:val="single"/>
              </w:rPr>
              <w:t xml:space="preserve"> Registration</w:t>
            </w:r>
          </w:p>
          <w:p w14:paraId="48444C9D" w14:textId="77777777" w:rsidR="000F0D0A" w:rsidRPr="00211689" w:rsidRDefault="00EF1051" w:rsidP="00EF1051">
            <w:pPr>
              <w:spacing w:after="0" w:line="240" w:lineRule="auto"/>
              <w:rPr>
                <w:rFonts w:cs="Calibri"/>
              </w:rPr>
            </w:pPr>
            <w:r>
              <w:rPr>
                <w:rFonts w:cs="Calibri"/>
              </w:rPr>
              <w:t>The EA registers all p</w:t>
            </w:r>
            <w:r w:rsidR="000F0D0A" w:rsidRPr="00211689">
              <w:rPr>
                <w:rFonts w:cs="Calibri"/>
              </w:rPr>
              <w:t>ersonnel</w:t>
            </w:r>
            <w:r w:rsidR="00FE224C" w:rsidRPr="00211689">
              <w:rPr>
                <w:rFonts w:cs="Calibri"/>
              </w:rPr>
              <w:t xml:space="preserve"> who are performing EA work</w:t>
            </w:r>
            <w:r w:rsidR="000F0D0A" w:rsidRPr="00211689">
              <w:rPr>
                <w:rFonts w:cs="Calibri"/>
              </w:rPr>
              <w:t xml:space="preserve"> with MOM.</w:t>
            </w:r>
          </w:p>
        </w:tc>
        <w:tc>
          <w:tcPr>
            <w:tcW w:w="850" w:type="dxa"/>
          </w:tcPr>
          <w:p w14:paraId="48444C9E" w14:textId="77777777" w:rsidR="000F0D0A" w:rsidRPr="00A81B05" w:rsidRDefault="000F0D0A" w:rsidP="00482DDC">
            <w:pPr>
              <w:spacing w:after="0" w:line="264" w:lineRule="auto"/>
              <w:jc w:val="center"/>
              <w:rPr>
                <w:rFonts w:cs="Calibri"/>
              </w:rPr>
            </w:pPr>
          </w:p>
        </w:tc>
        <w:tc>
          <w:tcPr>
            <w:tcW w:w="850" w:type="dxa"/>
          </w:tcPr>
          <w:p w14:paraId="48444C9F" w14:textId="77777777" w:rsidR="000F0D0A" w:rsidRPr="00A81B05" w:rsidRDefault="000F0D0A" w:rsidP="00482DDC">
            <w:pPr>
              <w:spacing w:after="0" w:line="264" w:lineRule="auto"/>
              <w:jc w:val="center"/>
              <w:rPr>
                <w:rFonts w:cs="Calibri"/>
              </w:rPr>
            </w:pPr>
          </w:p>
        </w:tc>
      </w:tr>
      <w:tr w:rsidR="002D0BC4" w:rsidRPr="00A81B05" w14:paraId="4C8FFDEA" w14:textId="77777777" w:rsidTr="000C7E34">
        <w:tc>
          <w:tcPr>
            <w:tcW w:w="534" w:type="dxa"/>
          </w:tcPr>
          <w:p w14:paraId="5FF99B92" w14:textId="4B0CEAA0" w:rsidR="002D0BC4" w:rsidRPr="009D0E5A" w:rsidRDefault="002D0BC4" w:rsidP="00482DDC">
            <w:pPr>
              <w:spacing w:after="0" w:line="264" w:lineRule="auto"/>
              <w:jc w:val="center"/>
              <w:rPr>
                <w:rFonts w:cs="Calibri"/>
              </w:rPr>
            </w:pPr>
            <w:r w:rsidRPr="009D0E5A">
              <w:rPr>
                <w:rFonts w:cs="Calibri"/>
              </w:rPr>
              <w:t>4</w:t>
            </w:r>
          </w:p>
        </w:tc>
        <w:tc>
          <w:tcPr>
            <w:tcW w:w="8505" w:type="dxa"/>
          </w:tcPr>
          <w:p w14:paraId="05D20D2E" w14:textId="54DC9981" w:rsidR="002D0BC4" w:rsidRPr="009D0E5A" w:rsidRDefault="007B570F" w:rsidP="002D0BC4">
            <w:pPr>
              <w:spacing w:after="0" w:line="240" w:lineRule="auto"/>
              <w:rPr>
                <w:rFonts w:cs="Calibri"/>
                <w:color w:val="E36C0A" w:themeColor="accent6" w:themeShade="BF"/>
              </w:rPr>
            </w:pPr>
            <w:r w:rsidRPr="009D0E5A">
              <w:rPr>
                <w:rFonts w:cs="Calibri"/>
              </w:rPr>
              <w:t>The EA has</w:t>
            </w:r>
            <w:r w:rsidR="002D0BC4" w:rsidRPr="009D0E5A">
              <w:rPr>
                <w:rFonts w:cs="Calibri"/>
              </w:rPr>
              <w:t xml:space="preserve"> at least one Key Appointment Holder who is registered with the Ministry </w:t>
            </w:r>
            <w:r w:rsidR="002D0BC4" w:rsidRPr="009D0E5A">
              <w:rPr>
                <w:rFonts w:cs="Calibri"/>
                <w:i/>
                <w:sz w:val="16"/>
                <w:szCs w:val="16"/>
              </w:rPr>
              <w:t>(</w:t>
            </w:r>
            <w:proofErr w:type="spellStart"/>
            <w:r w:rsidR="002D0BC4" w:rsidRPr="009D0E5A">
              <w:rPr>
                <w:rFonts w:cs="Calibri"/>
                <w:i/>
                <w:sz w:val="16"/>
                <w:szCs w:val="16"/>
              </w:rPr>
              <w:t>wef</w:t>
            </w:r>
            <w:proofErr w:type="spellEnd"/>
            <w:r w:rsidR="002D0BC4" w:rsidRPr="009D0E5A">
              <w:rPr>
                <w:rFonts w:cs="Calibri"/>
                <w:i/>
                <w:sz w:val="16"/>
                <w:szCs w:val="16"/>
              </w:rPr>
              <w:t xml:space="preserve"> 1 Sep 18)</w:t>
            </w:r>
          </w:p>
        </w:tc>
        <w:tc>
          <w:tcPr>
            <w:tcW w:w="850" w:type="dxa"/>
          </w:tcPr>
          <w:p w14:paraId="665048B8" w14:textId="77777777" w:rsidR="002D0BC4" w:rsidRPr="00A81B05" w:rsidRDefault="002D0BC4" w:rsidP="00482DDC">
            <w:pPr>
              <w:spacing w:after="0" w:line="264" w:lineRule="auto"/>
              <w:jc w:val="center"/>
              <w:rPr>
                <w:rFonts w:cs="Calibri"/>
              </w:rPr>
            </w:pPr>
          </w:p>
        </w:tc>
        <w:tc>
          <w:tcPr>
            <w:tcW w:w="850" w:type="dxa"/>
          </w:tcPr>
          <w:p w14:paraId="31029EB9" w14:textId="77777777" w:rsidR="002D0BC4" w:rsidRPr="00A81B05" w:rsidRDefault="002D0BC4" w:rsidP="00482DDC">
            <w:pPr>
              <w:spacing w:after="0" w:line="264" w:lineRule="auto"/>
              <w:jc w:val="center"/>
              <w:rPr>
                <w:rFonts w:cs="Calibri"/>
              </w:rPr>
            </w:pPr>
          </w:p>
        </w:tc>
      </w:tr>
      <w:tr w:rsidR="000F0D0A" w:rsidRPr="00A81B05" w14:paraId="48444CA6" w14:textId="77777777" w:rsidTr="000C7E34">
        <w:tc>
          <w:tcPr>
            <w:tcW w:w="534" w:type="dxa"/>
          </w:tcPr>
          <w:p w14:paraId="48444CA1" w14:textId="5867C853" w:rsidR="000F0D0A" w:rsidRPr="009D0E5A" w:rsidRDefault="002D0BC4" w:rsidP="00482DDC">
            <w:pPr>
              <w:spacing w:after="0" w:line="264" w:lineRule="auto"/>
              <w:jc w:val="center"/>
              <w:rPr>
                <w:rFonts w:cs="Calibri"/>
              </w:rPr>
            </w:pPr>
            <w:r w:rsidRPr="009D0E5A">
              <w:rPr>
                <w:rFonts w:cs="Calibri"/>
              </w:rPr>
              <w:t>5</w:t>
            </w:r>
          </w:p>
        </w:tc>
        <w:tc>
          <w:tcPr>
            <w:tcW w:w="8505" w:type="dxa"/>
          </w:tcPr>
          <w:p w14:paraId="48444CA2" w14:textId="77777777" w:rsidR="00EE2151" w:rsidRPr="009D0E5A" w:rsidRDefault="00EE2151" w:rsidP="001C1E01">
            <w:pPr>
              <w:spacing w:after="0" w:line="240" w:lineRule="auto"/>
              <w:rPr>
                <w:rFonts w:cs="Calibri"/>
                <w:color w:val="E36C0A" w:themeColor="accent6" w:themeShade="BF"/>
                <w:u w:val="single"/>
              </w:rPr>
            </w:pPr>
            <w:r w:rsidRPr="009D0E5A">
              <w:rPr>
                <w:rFonts w:cs="Calibri"/>
                <w:color w:val="E36C0A" w:themeColor="accent6" w:themeShade="BF"/>
                <w:u w:val="single"/>
              </w:rPr>
              <w:t>Registration Cards</w:t>
            </w:r>
          </w:p>
          <w:p w14:paraId="48444CA3" w14:textId="77777777" w:rsidR="000F0D0A" w:rsidRPr="009D0E5A" w:rsidRDefault="00EF1051" w:rsidP="00A507D8">
            <w:pPr>
              <w:spacing w:after="0" w:line="240" w:lineRule="auto"/>
              <w:rPr>
                <w:rFonts w:cs="Calibri"/>
              </w:rPr>
            </w:pPr>
            <w:r w:rsidRPr="009D0E5A">
              <w:rPr>
                <w:rFonts w:cs="Calibri"/>
              </w:rPr>
              <w:t xml:space="preserve">The </w:t>
            </w:r>
            <w:r w:rsidR="006C6143" w:rsidRPr="009D0E5A">
              <w:rPr>
                <w:rFonts w:cs="Calibri"/>
              </w:rPr>
              <w:t>EA’s</w:t>
            </w:r>
            <w:r w:rsidR="000F0D0A" w:rsidRPr="009D0E5A">
              <w:rPr>
                <w:rFonts w:cs="Calibri"/>
              </w:rPr>
              <w:t xml:space="preserve"> registered key appointment holders and </w:t>
            </w:r>
            <w:r w:rsidR="00EE2151" w:rsidRPr="009D0E5A">
              <w:rPr>
                <w:rFonts w:cs="Calibri"/>
              </w:rPr>
              <w:t>other EA personnel</w:t>
            </w:r>
            <w:r w:rsidR="000F0D0A" w:rsidRPr="009D0E5A">
              <w:rPr>
                <w:rFonts w:cs="Calibri"/>
              </w:rPr>
              <w:t xml:space="preserve"> have Registration Cards which are in line with MOM’s requirements.</w:t>
            </w:r>
            <w:r w:rsidR="00325E55" w:rsidRPr="009D0E5A">
              <w:rPr>
                <w:rFonts w:cs="Calibri"/>
              </w:rPr>
              <w:t xml:space="preserve"> (Refer to EA Rules 2011 for specifications, or refer to the </w:t>
            </w:r>
            <w:r w:rsidR="00A507D8" w:rsidRPr="009D0E5A">
              <w:rPr>
                <w:rFonts w:cs="Calibri"/>
              </w:rPr>
              <w:t>last</w:t>
            </w:r>
            <w:r w:rsidR="00325E55" w:rsidRPr="009D0E5A">
              <w:rPr>
                <w:rFonts w:cs="Calibri"/>
              </w:rPr>
              <w:t xml:space="preserve"> page for graphical representation)</w:t>
            </w:r>
            <w:r w:rsidR="001C1E01" w:rsidRPr="009D0E5A">
              <w:rPr>
                <w:rFonts w:cs="Calibri"/>
              </w:rPr>
              <w:t xml:space="preserve">. </w:t>
            </w:r>
          </w:p>
        </w:tc>
        <w:tc>
          <w:tcPr>
            <w:tcW w:w="850" w:type="dxa"/>
          </w:tcPr>
          <w:p w14:paraId="48444CA4" w14:textId="77777777" w:rsidR="000F0D0A" w:rsidRPr="00A81B05" w:rsidRDefault="000F0D0A" w:rsidP="00482DDC">
            <w:pPr>
              <w:spacing w:after="0" w:line="264" w:lineRule="auto"/>
              <w:jc w:val="center"/>
              <w:rPr>
                <w:rFonts w:cs="Calibri"/>
              </w:rPr>
            </w:pPr>
          </w:p>
        </w:tc>
        <w:tc>
          <w:tcPr>
            <w:tcW w:w="850" w:type="dxa"/>
          </w:tcPr>
          <w:p w14:paraId="48444CA5" w14:textId="77777777" w:rsidR="000F0D0A" w:rsidRPr="00A81B05" w:rsidRDefault="000F0D0A" w:rsidP="00482DDC">
            <w:pPr>
              <w:spacing w:after="0" w:line="264" w:lineRule="auto"/>
              <w:jc w:val="center"/>
              <w:rPr>
                <w:rFonts w:cs="Calibri"/>
              </w:rPr>
            </w:pPr>
          </w:p>
        </w:tc>
      </w:tr>
      <w:tr w:rsidR="000F0D0A" w:rsidRPr="00A81B05" w14:paraId="48444CAC" w14:textId="77777777" w:rsidTr="00C00DD5">
        <w:tc>
          <w:tcPr>
            <w:tcW w:w="534" w:type="dxa"/>
            <w:tcBorders>
              <w:bottom w:val="single" w:sz="4" w:space="0" w:color="auto"/>
            </w:tcBorders>
          </w:tcPr>
          <w:p w14:paraId="48444CA7" w14:textId="62248A04" w:rsidR="000F0D0A" w:rsidRPr="009D0E5A" w:rsidRDefault="002D0BC4" w:rsidP="00482DDC">
            <w:pPr>
              <w:spacing w:after="0" w:line="264" w:lineRule="auto"/>
              <w:jc w:val="center"/>
              <w:rPr>
                <w:rFonts w:cs="Calibri"/>
              </w:rPr>
            </w:pPr>
            <w:r w:rsidRPr="009D0E5A">
              <w:rPr>
                <w:rFonts w:cs="Calibri"/>
              </w:rPr>
              <w:t>6</w:t>
            </w:r>
          </w:p>
        </w:tc>
        <w:tc>
          <w:tcPr>
            <w:tcW w:w="8505" w:type="dxa"/>
            <w:tcBorders>
              <w:bottom w:val="single" w:sz="4" w:space="0" w:color="auto"/>
            </w:tcBorders>
          </w:tcPr>
          <w:p w14:paraId="48444CA8" w14:textId="77777777" w:rsidR="00EE2151" w:rsidRPr="009D0E5A" w:rsidRDefault="00EE2151" w:rsidP="0016050B">
            <w:pPr>
              <w:spacing w:after="0" w:line="240" w:lineRule="auto"/>
              <w:rPr>
                <w:rFonts w:cs="Calibri"/>
                <w:color w:val="E36C0A" w:themeColor="accent6" w:themeShade="BF"/>
                <w:u w:val="single"/>
              </w:rPr>
            </w:pPr>
            <w:r w:rsidRPr="009D0E5A">
              <w:rPr>
                <w:rFonts w:cs="Calibri"/>
                <w:color w:val="E36C0A" w:themeColor="accent6" w:themeShade="BF"/>
                <w:u w:val="single"/>
              </w:rPr>
              <w:t>Deregistration of EA Personnel</w:t>
            </w:r>
          </w:p>
          <w:p w14:paraId="48444CA9" w14:textId="77777777" w:rsidR="000F0D0A" w:rsidRPr="009D0E5A" w:rsidRDefault="00EF1051" w:rsidP="00EF1051">
            <w:pPr>
              <w:spacing w:after="0" w:line="240" w:lineRule="auto"/>
              <w:rPr>
                <w:rFonts w:cs="Calibri"/>
              </w:rPr>
            </w:pPr>
            <w:r w:rsidRPr="009D0E5A">
              <w:rPr>
                <w:rFonts w:cs="Calibri"/>
              </w:rPr>
              <w:t>The EA deregisters p</w:t>
            </w:r>
            <w:r w:rsidR="000F0D0A" w:rsidRPr="009D0E5A">
              <w:rPr>
                <w:rFonts w:cs="Calibri"/>
              </w:rPr>
              <w:t>ersonnel who have left the EA’s employment or who have stopped performing EA work</w:t>
            </w:r>
            <w:r w:rsidR="00FE224C" w:rsidRPr="009D0E5A">
              <w:rPr>
                <w:rFonts w:cs="Calibri"/>
              </w:rPr>
              <w:t xml:space="preserve"> </w:t>
            </w:r>
            <w:r w:rsidR="000F0D0A" w:rsidRPr="009D0E5A">
              <w:rPr>
                <w:rFonts w:cs="Calibri"/>
              </w:rPr>
              <w:t>within 3 working days</w:t>
            </w:r>
            <w:r w:rsidR="00E27016" w:rsidRPr="009D0E5A">
              <w:rPr>
                <w:rFonts w:cs="Calibri"/>
              </w:rPr>
              <w:t>.</w:t>
            </w:r>
          </w:p>
        </w:tc>
        <w:tc>
          <w:tcPr>
            <w:tcW w:w="850" w:type="dxa"/>
            <w:tcBorders>
              <w:bottom w:val="single" w:sz="4" w:space="0" w:color="auto"/>
            </w:tcBorders>
          </w:tcPr>
          <w:p w14:paraId="48444CAA" w14:textId="77777777" w:rsidR="000F0D0A" w:rsidRPr="00A81B05" w:rsidRDefault="000F0D0A" w:rsidP="00482DDC">
            <w:pPr>
              <w:spacing w:after="0" w:line="264" w:lineRule="auto"/>
              <w:jc w:val="center"/>
              <w:rPr>
                <w:rFonts w:cs="Calibri"/>
              </w:rPr>
            </w:pPr>
          </w:p>
        </w:tc>
        <w:tc>
          <w:tcPr>
            <w:tcW w:w="850" w:type="dxa"/>
            <w:tcBorders>
              <w:bottom w:val="single" w:sz="4" w:space="0" w:color="auto"/>
            </w:tcBorders>
          </w:tcPr>
          <w:p w14:paraId="48444CAB" w14:textId="77777777" w:rsidR="000F0D0A" w:rsidRPr="00A81B05" w:rsidRDefault="000F0D0A" w:rsidP="00482DDC">
            <w:pPr>
              <w:spacing w:after="0" w:line="264" w:lineRule="auto"/>
              <w:jc w:val="center"/>
              <w:rPr>
                <w:rFonts w:cs="Calibri"/>
              </w:rPr>
            </w:pPr>
          </w:p>
        </w:tc>
      </w:tr>
      <w:tr w:rsidR="00C00DD5" w:rsidRPr="00A81B05" w14:paraId="48444CB2" w14:textId="77777777" w:rsidTr="00C00DD5">
        <w:tc>
          <w:tcPr>
            <w:tcW w:w="534" w:type="dxa"/>
            <w:tcBorders>
              <w:bottom w:val="single" w:sz="4" w:space="0" w:color="auto"/>
            </w:tcBorders>
          </w:tcPr>
          <w:p w14:paraId="48444CAD" w14:textId="62835236" w:rsidR="00C00DD5" w:rsidRPr="009D0E5A" w:rsidRDefault="002D0BC4" w:rsidP="00C00DD5">
            <w:pPr>
              <w:spacing w:after="0" w:line="264" w:lineRule="auto"/>
              <w:jc w:val="center"/>
              <w:rPr>
                <w:rFonts w:cs="Calibri"/>
              </w:rPr>
            </w:pPr>
            <w:r w:rsidRPr="009D0E5A">
              <w:rPr>
                <w:rFonts w:cs="Calibri"/>
              </w:rPr>
              <w:t>7</w:t>
            </w:r>
          </w:p>
        </w:tc>
        <w:tc>
          <w:tcPr>
            <w:tcW w:w="8505" w:type="dxa"/>
            <w:tcBorders>
              <w:bottom w:val="single" w:sz="4" w:space="0" w:color="auto"/>
            </w:tcBorders>
          </w:tcPr>
          <w:p w14:paraId="48444CAE" w14:textId="77777777" w:rsidR="00C00DD5" w:rsidRPr="009D0E5A" w:rsidRDefault="00C00DD5" w:rsidP="00C00DD5">
            <w:pPr>
              <w:spacing w:after="0" w:line="240" w:lineRule="auto"/>
              <w:rPr>
                <w:rFonts w:cs="Calibri"/>
                <w:color w:val="E36C0A" w:themeColor="accent6" w:themeShade="BF"/>
                <w:u w:val="single"/>
              </w:rPr>
            </w:pPr>
            <w:r w:rsidRPr="009D0E5A">
              <w:rPr>
                <w:rFonts w:cs="Calibri"/>
                <w:color w:val="E36C0A" w:themeColor="accent6" w:themeShade="BF"/>
                <w:u w:val="single"/>
              </w:rPr>
              <w:t>TEP/TWP Holders</w:t>
            </w:r>
          </w:p>
          <w:p w14:paraId="48444CAF" w14:textId="77777777" w:rsidR="00C00DD5" w:rsidRPr="009D0E5A" w:rsidRDefault="00EF1051" w:rsidP="00EF1051">
            <w:pPr>
              <w:spacing w:after="0" w:line="240" w:lineRule="auto"/>
              <w:rPr>
                <w:rFonts w:cs="Calibri"/>
              </w:rPr>
            </w:pPr>
            <w:r w:rsidRPr="009D0E5A">
              <w:rPr>
                <w:rFonts w:cs="Calibri"/>
              </w:rPr>
              <w:t xml:space="preserve">The EA does not place </w:t>
            </w:r>
            <w:r w:rsidR="00C00DD5" w:rsidRPr="009D0E5A">
              <w:rPr>
                <w:rFonts w:cs="Calibri"/>
              </w:rPr>
              <w:t>Training Work Permit or Training Employment Pass holders.</w:t>
            </w:r>
          </w:p>
        </w:tc>
        <w:tc>
          <w:tcPr>
            <w:tcW w:w="850" w:type="dxa"/>
            <w:tcBorders>
              <w:bottom w:val="single" w:sz="4" w:space="0" w:color="auto"/>
            </w:tcBorders>
          </w:tcPr>
          <w:p w14:paraId="48444CB0" w14:textId="77777777" w:rsidR="00C00DD5" w:rsidRPr="00A81B05" w:rsidRDefault="00C00DD5" w:rsidP="00482DDC">
            <w:pPr>
              <w:spacing w:after="0" w:line="264" w:lineRule="auto"/>
              <w:jc w:val="center"/>
              <w:rPr>
                <w:rFonts w:cs="Calibri"/>
              </w:rPr>
            </w:pPr>
          </w:p>
        </w:tc>
        <w:tc>
          <w:tcPr>
            <w:tcW w:w="850" w:type="dxa"/>
            <w:tcBorders>
              <w:bottom w:val="single" w:sz="4" w:space="0" w:color="auto"/>
            </w:tcBorders>
          </w:tcPr>
          <w:p w14:paraId="48444CB1" w14:textId="77777777" w:rsidR="00C00DD5" w:rsidRPr="00A81B05" w:rsidRDefault="00C00DD5" w:rsidP="00482DDC">
            <w:pPr>
              <w:spacing w:after="0" w:line="264" w:lineRule="auto"/>
              <w:jc w:val="center"/>
              <w:rPr>
                <w:rFonts w:cs="Calibri"/>
              </w:rPr>
            </w:pPr>
          </w:p>
        </w:tc>
      </w:tr>
      <w:tr w:rsidR="00C00DD5" w:rsidRPr="00A81B05" w14:paraId="48444CB8" w14:textId="77777777" w:rsidTr="0040127F">
        <w:tc>
          <w:tcPr>
            <w:tcW w:w="534" w:type="dxa"/>
          </w:tcPr>
          <w:p w14:paraId="48444CB3" w14:textId="0F37F9C8" w:rsidR="00C00DD5" w:rsidRPr="009D0E5A" w:rsidRDefault="002D0BC4" w:rsidP="0040127F">
            <w:pPr>
              <w:spacing w:after="0" w:line="264" w:lineRule="auto"/>
              <w:jc w:val="center"/>
              <w:rPr>
                <w:rFonts w:cs="Calibri"/>
              </w:rPr>
            </w:pPr>
            <w:r w:rsidRPr="009D0E5A">
              <w:rPr>
                <w:rFonts w:cs="Calibri"/>
              </w:rPr>
              <w:t>8</w:t>
            </w:r>
          </w:p>
        </w:tc>
        <w:tc>
          <w:tcPr>
            <w:tcW w:w="8505" w:type="dxa"/>
          </w:tcPr>
          <w:p w14:paraId="48444CB4" w14:textId="77777777" w:rsidR="00C00DD5" w:rsidRPr="009D0E5A" w:rsidRDefault="00C00DD5" w:rsidP="0040127F">
            <w:pPr>
              <w:spacing w:after="0" w:line="240" w:lineRule="auto"/>
              <w:rPr>
                <w:rFonts w:cs="Calibri"/>
                <w:color w:val="E36C0A" w:themeColor="accent6" w:themeShade="BF"/>
                <w:u w:val="single"/>
              </w:rPr>
            </w:pPr>
            <w:r w:rsidRPr="009D0E5A">
              <w:rPr>
                <w:rFonts w:cs="Calibri"/>
                <w:color w:val="E36C0A" w:themeColor="accent6" w:themeShade="BF"/>
                <w:u w:val="single"/>
              </w:rPr>
              <w:t>Update Information to MOM</w:t>
            </w:r>
          </w:p>
          <w:p w14:paraId="48444CB5" w14:textId="77777777" w:rsidR="00C00DD5" w:rsidRPr="009D0E5A" w:rsidRDefault="00EF1051" w:rsidP="00EF1051">
            <w:pPr>
              <w:spacing w:after="0" w:line="240" w:lineRule="auto"/>
              <w:rPr>
                <w:rFonts w:cs="Calibri"/>
              </w:rPr>
            </w:pPr>
            <w:r w:rsidRPr="009D0E5A">
              <w:rPr>
                <w:rFonts w:cs="Calibri"/>
              </w:rPr>
              <w:t xml:space="preserve">The EA updates </w:t>
            </w:r>
            <w:r w:rsidR="00C00DD5" w:rsidRPr="009D0E5A">
              <w:rPr>
                <w:rFonts w:cs="Calibri"/>
              </w:rPr>
              <w:t xml:space="preserve">MOM </w:t>
            </w:r>
            <w:r w:rsidR="006B0FA0" w:rsidRPr="009D0E5A">
              <w:rPr>
                <w:rFonts w:cs="Calibri"/>
              </w:rPr>
              <w:t>within 7 working days</w:t>
            </w:r>
            <w:r w:rsidRPr="009D0E5A">
              <w:rPr>
                <w:rFonts w:cs="Calibri"/>
              </w:rPr>
              <w:t>,</w:t>
            </w:r>
            <w:r w:rsidR="006B0FA0" w:rsidRPr="009D0E5A">
              <w:rPr>
                <w:rFonts w:cs="Calibri"/>
              </w:rPr>
              <w:t xml:space="preserve"> </w:t>
            </w:r>
            <w:r w:rsidR="00C00DD5" w:rsidRPr="009D0E5A">
              <w:rPr>
                <w:rFonts w:cs="Calibri"/>
              </w:rPr>
              <w:t>if there is a change in EA’s place of business.</w:t>
            </w:r>
          </w:p>
        </w:tc>
        <w:tc>
          <w:tcPr>
            <w:tcW w:w="850" w:type="dxa"/>
          </w:tcPr>
          <w:p w14:paraId="48444CB6" w14:textId="77777777" w:rsidR="00C00DD5" w:rsidRPr="00A81B05" w:rsidRDefault="00C00DD5" w:rsidP="0040127F">
            <w:pPr>
              <w:spacing w:after="0" w:line="264" w:lineRule="auto"/>
              <w:jc w:val="center"/>
              <w:rPr>
                <w:rFonts w:cs="Calibri"/>
              </w:rPr>
            </w:pPr>
          </w:p>
        </w:tc>
        <w:tc>
          <w:tcPr>
            <w:tcW w:w="850" w:type="dxa"/>
          </w:tcPr>
          <w:p w14:paraId="48444CB7" w14:textId="77777777" w:rsidR="00C00DD5" w:rsidRPr="00A81B05" w:rsidRDefault="00C00DD5" w:rsidP="0040127F">
            <w:pPr>
              <w:spacing w:after="0" w:line="264" w:lineRule="auto"/>
              <w:jc w:val="center"/>
              <w:rPr>
                <w:rFonts w:cs="Calibri"/>
              </w:rPr>
            </w:pPr>
          </w:p>
        </w:tc>
      </w:tr>
      <w:tr w:rsidR="00C00DD5" w:rsidRPr="00A81B05" w14:paraId="48444CBD" w14:textId="77777777" w:rsidTr="0012549E">
        <w:tc>
          <w:tcPr>
            <w:tcW w:w="534" w:type="dxa"/>
            <w:tcBorders>
              <w:bottom w:val="single" w:sz="4" w:space="0" w:color="auto"/>
            </w:tcBorders>
          </w:tcPr>
          <w:p w14:paraId="48444CB9" w14:textId="14F2E6FB" w:rsidR="00C00DD5" w:rsidRPr="009D0E5A" w:rsidRDefault="002D0BC4" w:rsidP="0040127F">
            <w:pPr>
              <w:spacing w:after="0" w:line="264" w:lineRule="auto"/>
              <w:jc w:val="center"/>
              <w:rPr>
                <w:rFonts w:cs="Calibri"/>
              </w:rPr>
            </w:pPr>
            <w:r w:rsidRPr="009D0E5A">
              <w:rPr>
                <w:rFonts w:cs="Calibri"/>
              </w:rPr>
              <w:t>9</w:t>
            </w:r>
          </w:p>
        </w:tc>
        <w:tc>
          <w:tcPr>
            <w:tcW w:w="8505" w:type="dxa"/>
            <w:tcBorders>
              <w:bottom w:val="single" w:sz="4" w:space="0" w:color="auto"/>
            </w:tcBorders>
          </w:tcPr>
          <w:p w14:paraId="48444CBA" w14:textId="7FD600BE" w:rsidR="00C00DD5" w:rsidRPr="009D0E5A" w:rsidRDefault="008B65B5" w:rsidP="00EF1051">
            <w:pPr>
              <w:spacing w:after="0" w:line="240" w:lineRule="auto"/>
              <w:rPr>
                <w:rFonts w:cs="Calibri"/>
              </w:rPr>
            </w:pPr>
            <w:r w:rsidRPr="009D0E5A">
              <w:rPr>
                <w:rFonts w:cs="Calibri"/>
              </w:rPr>
              <w:t xml:space="preserve">Any change in any business registration details with ACRA is updated in </w:t>
            </w:r>
            <w:proofErr w:type="spellStart"/>
            <w:r w:rsidRPr="009D0E5A">
              <w:rPr>
                <w:rFonts w:cs="Calibri"/>
              </w:rPr>
              <w:t>Licence</w:t>
            </w:r>
            <w:proofErr w:type="spellEnd"/>
            <w:r w:rsidRPr="009D0E5A">
              <w:rPr>
                <w:rFonts w:cs="Calibri"/>
              </w:rPr>
              <w:t xml:space="preserve"> One.</w:t>
            </w:r>
          </w:p>
        </w:tc>
        <w:tc>
          <w:tcPr>
            <w:tcW w:w="850" w:type="dxa"/>
            <w:tcBorders>
              <w:bottom w:val="single" w:sz="4" w:space="0" w:color="auto"/>
            </w:tcBorders>
          </w:tcPr>
          <w:p w14:paraId="48444CBB" w14:textId="77777777" w:rsidR="00C00DD5" w:rsidRPr="00A81B05" w:rsidRDefault="00C00DD5" w:rsidP="0040127F">
            <w:pPr>
              <w:spacing w:after="0" w:line="264" w:lineRule="auto"/>
              <w:jc w:val="center"/>
              <w:rPr>
                <w:rFonts w:cs="Calibri"/>
              </w:rPr>
            </w:pPr>
          </w:p>
        </w:tc>
        <w:tc>
          <w:tcPr>
            <w:tcW w:w="850" w:type="dxa"/>
            <w:tcBorders>
              <w:bottom w:val="single" w:sz="4" w:space="0" w:color="auto"/>
            </w:tcBorders>
          </w:tcPr>
          <w:p w14:paraId="48444CBC" w14:textId="77777777" w:rsidR="00C00DD5" w:rsidRPr="00A81B05" w:rsidRDefault="00C00DD5" w:rsidP="0040127F">
            <w:pPr>
              <w:spacing w:after="0" w:line="264" w:lineRule="auto"/>
              <w:jc w:val="center"/>
              <w:rPr>
                <w:rFonts w:cs="Calibri"/>
              </w:rPr>
            </w:pPr>
          </w:p>
        </w:tc>
      </w:tr>
      <w:tr w:rsidR="00D5230B" w:rsidRPr="00A81B05" w14:paraId="1C9AC836" w14:textId="77777777" w:rsidTr="0083448A">
        <w:tc>
          <w:tcPr>
            <w:tcW w:w="534" w:type="dxa"/>
            <w:tcBorders>
              <w:bottom w:val="single" w:sz="4" w:space="0" w:color="auto"/>
            </w:tcBorders>
          </w:tcPr>
          <w:p w14:paraId="06C873E4" w14:textId="155A8306" w:rsidR="00D5230B" w:rsidRPr="009D0E5A" w:rsidRDefault="002D0BC4" w:rsidP="0040127F">
            <w:pPr>
              <w:spacing w:after="0" w:line="264" w:lineRule="auto"/>
              <w:jc w:val="center"/>
              <w:rPr>
                <w:rFonts w:cs="Calibri"/>
              </w:rPr>
            </w:pPr>
            <w:r w:rsidRPr="009D0E5A">
              <w:rPr>
                <w:rFonts w:cs="Calibri"/>
              </w:rPr>
              <w:t>10</w:t>
            </w:r>
          </w:p>
        </w:tc>
        <w:tc>
          <w:tcPr>
            <w:tcW w:w="8505" w:type="dxa"/>
            <w:tcBorders>
              <w:bottom w:val="single" w:sz="4" w:space="0" w:color="auto"/>
            </w:tcBorders>
            <w:shd w:val="clear" w:color="auto" w:fill="auto"/>
          </w:tcPr>
          <w:p w14:paraId="52097646" w14:textId="4BE9A43F" w:rsidR="002D0BC4" w:rsidRPr="009D0E5A" w:rsidRDefault="002D0BC4" w:rsidP="002D0BC4">
            <w:pPr>
              <w:spacing w:after="0" w:line="240" w:lineRule="auto"/>
              <w:rPr>
                <w:rFonts w:cs="Calibri"/>
              </w:rPr>
            </w:pPr>
            <w:r w:rsidRPr="009D0E5A">
              <w:rPr>
                <w:rFonts w:cs="Calibri"/>
                <w:color w:val="E36C0A" w:themeColor="accent6" w:themeShade="BF"/>
                <w:u w:val="single"/>
              </w:rPr>
              <w:t xml:space="preserve">Retention of Documentations </w:t>
            </w:r>
            <w:r w:rsidRPr="009D0E5A">
              <w:rPr>
                <w:rFonts w:cs="Calibri"/>
                <w:i/>
                <w:sz w:val="16"/>
                <w:szCs w:val="16"/>
              </w:rPr>
              <w:t>(</w:t>
            </w:r>
            <w:proofErr w:type="spellStart"/>
            <w:r w:rsidRPr="009D0E5A">
              <w:rPr>
                <w:rFonts w:cs="Calibri"/>
                <w:i/>
                <w:sz w:val="16"/>
                <w:szCs w:val="16"/>
              </w:rPr>
              <w:t>wef</w:t>
            </w:r>
            <w:proofErr w:type="spellEnd"/>
            <w:r w:rsidRPr="009D0E5A">
              <w:rPr>
                <w:rFonts w:cs="Calibri"/>
                <w:i/>
                <w:sz w:val="16"/>
                <w:szCs w:val="16"/>
              </w:rPr>
              <w:t xml:space="preserve"> 1 Sep 18)</w:t>
            </w:r>
          </w:p>
          <w:p w14:paraId="2E450105" w14:textId="62FB05F9" w:rsidR="002D0BC4" w:rsidRDefault="00D5230B" w:rsidP="00D70004">
            <w:pPr>
              <w:spacing w:after="0" w:line="240" w:lineRule="auto"/>
              <w:rPr>
                <w:rFonts w:cs="Calibri"/>
              </w:rPr>
            </w:pPr>
            <w:r w:rsidRPr="009D0E5A">
              <w:rPr>
                <w:rFonts w:cs="Calibri"/>
              </w:rPr>
              <w:t>The EA retain possession of all original documents or copies of such documents (may be retained in an electronic form) for a minimum period of 3 years starting from the date of any work</w:t>
            </w:r>
            <w:r w:rsidR="00790BBA" w:rsidRPr="009D0E5A">
              <w:rPr>
                <w:rFonts w:cs="Calibri"/>
              </w:rPr>
              <w:t xml:space="preserve"> pass application or renewal. (</w:t>
            </w:r>
            <w:r w:rsidR="00790BBA" w:rsidRPr="009D0E5A">
              <w:rPr>
                <w:rFonts w:cs="Calibri"/>
                <w:i/>
                <w:sz w:val="20"/>
                <w:u w:val="single"/>
              </w:rPr>
              <w:t>R</w:t>
            </w:r>
            <w:r w:rsidRPr="009D0E5A">
              <w:rPr>
                <w:rFonts w:cs="Calibri"/>
                <w:i/>
                <w:sz w:val="20"/>
                <w:u w:val="single"/>
              </w:rPr>
              <w:t>efer to Annex A – List of Documents to be Retained by the Licensee</w:t>
            </w:r>
            <w:r w:rsidR="0083448A" w:rsidRPr="009D0E5A">
              <w:rPr>
                <w:rFonts w:cs="Calibri"/>
                <w:i/>
                <w:sz w:val="20"/>
                <w:u w:val="single"/>
              </w:rPr>
              <w:t xml:space="preserve"> </w:t>
            </w:r>
            <w:r w:rsidR="00D70004" w:rsidRPr="009D0E5A">
              <w:rPr>
                <w:rFonts w:cs="Calibri"/>
                <w:i/>
                <w:sz w:val="20"/>
                <w:u w:val="single"/>
              </w:rPr>
              <w:t>of</w:t>
            </w:r>
            <w:r w:rsidR="0083448A" w:rsidRPr="009D0E5A">
              <w:rPr>
                <w:rFonts w:cs="Calibri"/>
                <w:i/>
                <w:sz w:val="20"/>
                <w:u w:val="single"/>
              </w:rPr>
              <w:t xml:space="preserve"> </w:t>
            </w:r>
            <w:r w:rsidR="00D70004" w:rsidRPr="009D0E5A">
              <w:rPr>
                <w:rFonts w:cs="Calibri"/>
                <w:i/>
                <w:sz w:val="20"/>
                <w:u w:val="single"/>
              </w:rPr>
              <w:t xml:space="preserve">EA </w:t>
            </w:r>
            <w:proofErr w:type="spellStart"/>
            <w:r w:rsidR="00D70004" w:rsidRPr="009D0E5A">
              <w:rPr>
                <w:rFonts w:cs="Calibri"/>
                <w:i/>
                <w:sz w:val="20"/>
                <w:u w:val="single"/>
              </w:rPr>
              <w:t>Licence</w:t>
            </w:r>
            <w:proofErr w:type="spellEnd"/>
            <w:r w:rsidR="0083448A" w:rsidRPr="009D0E5A">
              <w:rPr>
                <w:rFonts w:cs="Calibri"/>
                <w:i/>
                <w:sz w:val="20"/>
                <w:u w:val="single"/>
              </w:rPr>
              <w:t xml:space="preserve"> Condition (EALC)</w:t>
            </w:r>
            <w:r w:rsidRPr="009D0E5A">
              <w:rPr>
                <w:rFonts w:cs="Calibri"/>
              </w:rPr>
              <w:t>)</w:t>
            </w:r>
          </w:p>
          <w:p w14:paraId="5321130C" w14:textId="7D11C32F" w:rsidR="009D0E5A" w:rsidRDefault="009D0E5A" w:rsidP="00D70004">
            <w:pPr>
              <w:spacing w:after="0" w:line="240" w:lineRule="auto"/>
              <w:rPr>
                <w:rFonts w:cs="Calibri"/>
              </w:rPr>
            </w:pPr>
          </w:p>
          <w:p w14:paraId="2D79E2E1" w14:textId="77777777" w:rsidR="000B097C" w:rsidRPr="009D0E5A" w:rsidRDefault="000B097C" w:rsidP="00D70004">
            <w:pPr>
              <w:spacing w:after="0" w:line="240" w:lineRule="auto"/>
              <w:rPr>
                <w:rFonts w:cs="Calibri"/>
              </w:rPr>
            </w:pPr>
          </w:p>
          <w:p w14:paraId="5312B7CF" w14:textId="5D06DF2C" w:rsidR="009D0E5A" w:rsidRPr="009D0E5A" w:rsidRDefault="009D0E5A" w:rsidP="00D70004">
            <w:pPr>
              <w:spacing w:after="0" w:line="240" w:lineRule="auto"/>
              <w:rPr>
                <w:rFonts w:cs="Calibri"/>
              </w:rPr>
            </w:pPr>
          </w:p>
        </w:tc>
        <w:tc>
          <w:tcPr>
            <w:tcW w:w="850" w:type="dxa"/>
            <w:tcBorders>
              <w:bottom w:val="single" w:sz="4" w:space="0" w:color="auto"/>
            </w:tcBorders>
          </w:tcPr>
          <w:p w14:paraId="10227311" w14:textId="77777777" w:rsidR="00D5230B" w:rsidRPr="00A81B05" w:rsidRDefault="00D5230B" w:rsidP="0040127F">
            <w:pPr>
              <w:spacing w:after="0" w:line="264" w:lineRule="auto"/>
              <w:jc w:val="center"/>
              <w:rPr>
                <w:rFonts w:cs="Calibri"/>
              </w:rPr>
            </w:pPr>
          </w:p>
        </w:tc>
        <w:tc>
          <w:tcPr>
            <w:tcW w:w="850" w:type="dxa"/>
            <w:tcBorders>
              <w:bottom w:val="single" w:sz="4" w:space="0" w:color="auto"/>
            </w:tcBorders>
          </w:tcPr>
          <w:p w14:paraId="14A5181D" w14:textId="77777777" w:rsidR="00D5230B" w:rsidRPr="00A81B05" w:rsidRDefault="00D5230B" w:rsidP="0040127F">
            <w:pPr>
              <w:spacing w:after="0" w:line="264" w:lineRule="auto"/>
              <w:jc w:val="center"/>
              <w:rPr>
                <w:rFonts w:cs="Calibri"/>
              </w:rPr>
            </w:pPr>
          </w:p>
        </w:tc>
      </w:tr>
      <w:tr w:rsidR="00C00DD5" w:rsidRPr="00A81B05" w14:paraId="48444CBF" w14:textId="77777777" w:rsidTr="0012549E">
        <w:tc>
          <w:tcPr>
            <w:tcW w:w="10739" w:type="dxa"/>
            <w:gridSpan w:val="4"/>
            <w:shd w:val="clear" w:color="auto" w:fill="31849B" w:themeFill="accent5" w:themeFillShade="BF"/>
          </w:tcPr>
          <w:p w14:paraId="48444CBE" w14:textId="77777777" w:rsidR="00C00DD5" w:rsidRPr="009D0E5A" w:rsidRDefault="00C00DD5" w:rsidP="00A53D53">
            <w:pPr>
              <w:spacing w:after="0" w:line="264" w:lineRule="auto"/>
              <w:rPr>
                <w:rFonts w:cs="Calibri"/>
                <w:b/>
                <w:color w:val="FFFFFF"/>
              </w:rPr>
            </w:pPr>
            <w:r w:rsidRPr="009D0E5A">
              <w:rPr>
                <w:rFonts w:cs="Calibri"/>
                <w:b/>
                <w:color w:val="FFFFFF"/>
              </w:rPr>
              <w:t xml:space="preserve">EA’s Duty of Care to </w:t>
            </w:r>
            <w:r w:rsidR="00A53D53" w:rsidRPr="009D0E5A">
              <w:rPr>
                <w:rFonts w:cs="Calibri"/>
                <w:b/>
                <w:color w:val="FFFFFF"/>
              </w:rPr>
              <w:t xml:space="preserve">Applicants </w:t>
            </w:r>
            <w:r w:rsidR="00D35959" w:rsidRPr="009D0E5A">
              <w:rPr>
                <w:rFonts w:cs="Calibri"/>
                <w:b/>
                <w:color w:val="FFFFFF"/>
              </w:rPr>
              <w:t xml:space="preserve">for Employment </w:t>
            </w:r>
          </w:p>
        </w:tc>
      </w:tr>
      <w:tr w:rsidR="001C1E01" w:rsidRPr="00A81B05" w14:paraId="48444CC5" w14:textId="77777777" w:rsidTr="000C7E34">
        <w:tc>
          <w:tcPr>
            <w:tcW w:w="534" w:type="dxa"/>
          </w:tcPr>
          <w:p w14:paraId="48444CC0" w14:textId="593733C9" w:rsidR="001C1E01" w:rsidRPr="009D0E5A" w:rsidRDefault="00790BBA" w:rsidP="006325C1">
            <w:pPr>
              <w:spacing w:after="0" w:line="264" w:lineRule="auto"/>
              <w:jc w:val="center"/>
              <w:rPr>
                <w:rFonts w:cs="Calibri"/>
              </w:rPr>
            </w:pPr>
            <w:r w:rsidRPr="009D0E5A">
              <w:rPr>
                <w:rFonts w:cs="Calibri"/>
              </w:rPr>
              <w:t>1</w:t>
            </w:r>
            <w:r w:rsidR="002D0BC4" w:rsidRPr="009D0E5A">
              <w:rPr>
                <w:rFonts w:cs="Calibri"/>
              </w:rPr>
              <w:t>1</w:t>
            </w:r>
          </w:p>
        </w:tc>
        <w:tc>
          <w:tcPr>
            <w:tcW w:w="8505" w:type="dxa"/>
          </w:tcPr>
          <w:p w14:paraId="48444CC1" w14:textId="77777777" w:rsidR="001C1E01" w:rsidRPr="009D0E5A" w:rsidRDefault="001C1E01" w:rsidP="006325C1">
            <w:pPr>
              <w:spacing w:after="0" w:line="240" w:lineRule="auto"/>
              <w:rPr>
                <w:rFonts w:cs="Calibri"/>
                <w:color w:val="E36C0A" w:themeColor="accent6" w:themeShade="BF"/>
                <w:u w:val="single"/>
              </w:rPr>
            </w:pPr>
            <w:r w:rsidRPr="009D0E5A">
              <w:rPr>
                <w:rFonts w:cs="Calibri"/>
                <w:color w:val="E36C0A" w:themeColor="accent6" w:themeShade="BF"/>
                <w:u w:val="single"/>
              </w:rPr>
              <w:t>Prevailing Entry Requirement</w:t>
            </w:r>
            <w:r w:rsidR="0067688F" w:rsidRPr="009D0E5A">
              <w:rPr>
                <w:rFonts w:cs="Calibri"/>
                <w:color w:val="E36C0A" w:themeColor="accent6" w:themeShade="BF"/>
                <w:u w:val="single"/>
              </w:rPr>
              <w:t xml:space="preserve"> </w:t>
            </w:r>
            <w:r w:rsidR="00D35959" w:rsidRPr="009D0E5A">
              <w:rPr>
                <w:rFonts w:cs="Calibri"/>
                <w:color w:val="E36C0A" w:themeColor="accent6" w:themeShade="BF"/>
                <w:u w:val="single"/>
              </w:rPr>
              <w:t>of Foreign Applicants for Employment</w:t>
            </w:r>
          </w:p>
          <w:p w14:paraId="48444CC2" w14:textId="51849733" w:rsidR="001C1E01" w:rsidRPr="009D0E5A" w:rsidRDefault="008B65B5" w:rsidP="008E2FDB">
            <w:pPr>
              <w:spacing w:after="0" w:line="240" w:lineRule="auto"/>
              <w:rPr>
                <w:rFonts w:cs="Calibri"/>
              </w:rPr>
            </w:pPr>
            <w:r w:rsidRPr="009D0E5A">
              <w:rPr>
                <w:rFonts w:cs="Calibri"/>
              </w:rPr>
              <w:t xml:space="preserve">The </w:t>
            </w:r>
            <w:r w:rsidR="00790BBA" w:rsidRPr="009D0E5A">
              <w:rPr>
                <w:rFonts w:cs="Calibri"/>
              </w:rPr>
              <w:t>EA</w:t>
            </w:r>
            <w:r w:rsidR="009000C9" w:rsidRPr="009D0E5A">
              <w:rPr>
                <w:rFonts w:cs="Calibri"/>
              </w:rPr>
              <w:t xml:space="preserve"> checks all necessary documentation, </w:t>
            </w:r>
            <w:r w:rsidR="00790BBA" w:rsidRPr="009D0E5A">
              <w:rPr>
                <w:rFonts w:cs="Calibri"/>
              </w:rPr>
              <w:t>interviews and screens the F</w:t>
            </w:r>
            <w:r w:rsidR="0083448A" w:rsidRPr="009D0E5A">
              <w:rPr>
                <w:rFonts w:cs="Calibri"/>
              </w:rPr>
              <w:t>oreign Employee</w:t>
            </w:r>
            <w:r w:rsidRPr="009D0E5A">
              <w:rPr>
                <w:rFonts w:cs="Calibri"/>
              </w:rPr>
              <w:t xml:space="preserve"> before, and after </w:t>
            </w:r>
            <w:r w:rsidR="00790BBA" w:rsidRPr="009D0E5A">
              <w:rPr>
                <w:rFonts w:cs="Calibri"/>
              </w:rPr>
              <w:t>their</w:t>
            </w:r>
            <w:r w:rsidRPr="009D0E5A">
              <w:rPr>
                <w:rFonts w:cs="Calibri"/>
              </w:rPr>
              <w:t xml:space="preserve"> entry into Singapore to ensure that </w:t>
            </w:r>
            <w:r w:rsidR="00790BBA" w:rsidRPr="009D0E5A">
              <w:rPr>
                <w:rFonts w:cs="Calibri"/>
              </w:rPr>
              <w:t>they</w:t>
            </w:r>
            <w:r w:rsidRPr="009D0E5A">
              <w:rPr>
                <w:rFonts w:cs="Calibri"/>
              </w:rPr>
              <w:t xml:space="preserve"> meet the </w:t>
            </w:r>
            <w:r w:rsidR="009000C9" w:rsidRPr="009D0E5A">
              <w:rPr>
                <w:rFonts w:cs="Calibri"/>
              </w:rPr>
              <w:t>prevailing entry requirements imposed on the F</w:t>
            </w:r>
            <w:r w:rsidR="0083448A" w:rsidRPr="009D0E5A">
              <w:rPr>
                <w:rFonts w:cs="Calibri"/>
              </w:rPr>
              <w:t xml:space="preserve">oreign Employee </w:t>
            </w:r>
            <w:r w:rsidR="009000C9" w:rsidRPr="009D0E5A">
              <w:rPr>
                <w:rFonts w:cs="Calibri"/>
              </w:rPr>
              <w:t>by the Ministry are fulfilled by the F</w:t>
            </w:r>
            <w:r w:rsidR="008E2FDB">
              <w:rPr>
                <w:rFonts w:cs="Calibri"/>
              </w:rPr>
              <w:t>oreign Employee</w:t>
            </w:r>
            <w:r w:rsidR="009000C9" w:rsidRPr="009D0E5A">
              <w:rPr>
                <w:rFonts w:cs="Calibri"/>
              </w:rPr>
              <w:t xml:space="preserve">. </w:t>
            </w:r>
          </w:p>
        </w:tc>
        <w:tc>
          <w:tcPr>
            <w:tcW w:w="850" w:type="dxa"/>
          </w:tcPr>
          <w:p w14:paraId="48444CC3" w14:textId="77777777" w:rsidR="001C1E01" w:rsidRPr="00A81B05" w:rsidRDefault="001C1E01" w:rsidP="006325C1">
            <w:pPr>
              <w:spacing w:after="0" w:line="264" w:lineRule="auto"/>
              <w:jc w:val="center"/>
              <w:rPr>
                <w:rFonts w:cs="Calibri"/>
              </w:rPr>
            </w:pPr>
          </w:p>
        </w:tc>
        <w:tc>
          <w:tcPr>
            <w:tcW w:w="850" w:type="dxa"/>
          </w:tcPr>
          <w:p w14:paraId="48444CC4" w14:textId="77777777" w:rsidR="001C1E01" w:rsidRPr="00A81B05" w:rsidRDefault="001C1E01" w:rsidP="006325C1">
            <w:pPr>
              <w:spacing w:after="0" w:line="264" w:lineRule="auto"/>
              <w:jc w:val="center"/>
              <w:rPr>
                <w:rFonts w:cs="Calibri"/>
              </w:rPr>
            </w:pPr>
          </w:p>
        </w:tc>
      </w:tr>
      <w:tr w:rsidR="001C1E01" w:rsidRPr="00A81B05" w14:paraId="48444CCB" w14:textId="77777777" w:rsidTr="000C7E34">
        <w:tc>
          <w:tcPr>
            <w:tcW w:w="534" w:type="dxa"/>
          </w:tcPr>
          <w:p w14:paraId="48444CC6" w14:textId="79F38E92" w:rsidR="001C1E01" w:rsidRPr="009D0E5A" w:rsidRDefault="001C1E01" w:rsidP="00482DDC">
            <w:pPr>
              <w:spacing w:after="0" w:line="264" w:lineRule="auto"/>
              <w:jc w:val="center"/>
              <w:rPr>
                <w:rFonts w:cs="Calibri"/>
              </w:rPr>
            </w:pPr>
            <w:r w:rsidRPr="009D0E5A">
              <w:rPr>
                <w:rFonts w:cs="Calibri"/>
              </w:rPr>
              <w:t>1</w:t>
            </w:r>
            <w:r w:rsidR="002D0BC4" w:rsidRPr="009D0E5A">
              <w:rPr>
                <w:rFonts w:cs="Calibri"/>
              </w:rPr>
              <w:t>2</w:t>
            </w:r>
          </w:p>
        </w:tc>
        <w:tc>
          <w:tcPr>
            <w:tcW w:w="8505" w:type="dxa"/>
          </w:tcPr>
          <w:p w14:paraId="48444CC7" w14:textId="4BD6F58E" w:rsidR="00EE2151" w:rsidRPr="009D0E5A" w:rsidRDefault="00EE2151" w:rsidP="0016050B">
            <w:pPr>
              <w:spacing w:after="0" w:line="240" w:lineRule="auto"/>
              <w:rPr>
                <w:rFonts w:cs="Calibri"/>
                <w:color w:val="E36C0A" w:themeColor="accent6" w:themeShade="BF"/>
                <w:u w:val="single"/>
              </w:rPr>
            </w:pPr>
            <w:r w:rsidRPr="009D0E5A">
              <w:rPr>
                <w:rFonts w:cs="Calibri"/>
                <w:color w:val="E36C0A" w:themeColor="accent6" w:themeShade="BF"/>
                <w:u w:val="single"/>
              </w:rPr>
              <w:t>Fees</w:t>
            </w:r>
            <w:r w:rsidR="00F74C4E" w:rsidRPr="009D0E5A">
              <w:rPr>
                <w:rFonts w:cs="Calibri"/>
                <w:color w:val="E36C0A" w:themeColor="accent6" w:themeShade="BF"/>
                <w:u w:val="single"/>
              </w:rPr>
              <w:t xml:space="preserve"> </w:t>
            </w:r>
          </w:p>
          <w:p w14:paraId="48444CC8" w14:textId="0542C5D2" w:rsidR="001C1E01" w:rsidRPr="009D0E5A" w:rsidRDefault="00EF1051" w:rsidP="00F74C4E">
            <w:pPr>
              <w:spacing w:after="0" w:line="240" w:lineRule="auto"/>
              <w:rPr>
                <w:rFonts w:cs="Calibri"/>
              </w:rPr>
            </w:pPr>
            <w:r w:rsidRPr="009D0E5A">
              <w:rPr>
                <w:rFonts w:cs="Calibri"/>
              </w:rPr>
              <w:t>The EA does not charge a</w:t>
            </w:r>
            <w:r w:rsidR="001C1E01" w:rsidRPr="009D0E5A">
              <w:rPr>
                <w:rFonts w:cs="Calibri"/>
              </w:rPr>
              <w:t>n applicant for employment more than 1 month</w:t>
            </w:r>
            <w:r w:rsidR="008B65B5" w:rsidRPr="009D0E5A">
              <w:rPr>
                <w:rFonts w:cs="Calibri"/>
              </w:rPr>
              <w:t>’s</w:t>
            </w:r>
            <w:r w:rsidR="001C1E01" w:rsidRPr="009D0E5A">
              <w:rPr>
                <w:rFonts w:cs="Calibri"/>
              </w:rPr>
              <w:t xml:space="preserve"> salary for each year of validity of the applicant’s work pass or period of contract, up to a maximum of 2 months’ salary.</w:t>
            </w:r>
            <w:r w:rsidR="00F74C4E" w:rsidRPr="009D0E5A">
              <w:rPr>
                <w:rFonts w:cs="Calibri"/>
              </w:rPr>
              <w:t xml:space="preserve"> </w:t>
            </w:r>
          </w:p>
        </w:tc>
        <w:tc>
          <w:tcPr>
            <w:tcW w:w="850" w:type="dxa"/>
          </w:tcPr>
          <w:p w14:paraId="48444CC9" w14:textId="77777777" w:rsidR="001C1E01" w:rsidRPr="00A81B05" w:rsidRDefault="001C1E01" w:rsidP="00482DDC">
            <w:pPr>
              <w:spacing w:after="0" w:line="264" w:lineRule="auto"/>
              <w:jc w:val="center"/>
              <w:rPr>
                <w:rFonts w:cs="Calibri"/>
              </w:rPr>
            </w:pPr>
          </w:p>
        </w:tc>
        <w:tc>
          <w:tcPr>
            <w:tcW w:w="850" w:type="dxa"/>
          </w:tcPr>
          <w:p w14:paraId="48444CCA" w14:textId="77777777" w:rsidR="001C1E01" w:rsidRPr="00A81B05" w:rsidRDefault="001C1E01" w:rsidP="00482DDC">
            <w:pPr>
              <w:spacing w:after="0" w:line="264" w:lineRule="auto"/>
              <w:jc w:val="center"/>
              <w:rPr>
                <w:rFonts w:cs="Calibri"/>
              </w:rPr>
            </w:pPr>
          </w:p>
        </w:tc>
      </w:tr>
      <w:tr w:rsidR="007E4CAF" w:rsidRPr="00A81B05" w14:paraId="2B7BB374" w14:textId="77777777" w:rsidTr="000C7E34">
        <w:tc>
          <w:tcPr>
            <w:tcW w:w="534" w:type="dxa"/>
          </w:tcPr>
          <w:p w14:paraId="3FB79EB9" w14:textId="004F5723" w:rsidR="007E4CAF" w:rsidRPr="009D0E5A" w:rsidRDefault="002D0BC4" w:rsidP="00482DDC">
            <w:pPr>
              <w:spacing w:after="0" w:line="264" w:lineRule="auto"/>
              <w:jc w:val="center"/>
              <w:rPr>
                <w:rFonts w:cs="Calibri"/>
              </w:rPr>
            </w:pPr>
            <w:r w:rsidRPr="009D0E5A">
              <w:rPr>
                <w:rFonts w:cs="Calibri"/>
              </w:rPr>
              <w:t>13</w:t>
            </w:r>
          </w:p>
        </w:tc>
        <w:tc>
          <w:tcPr>
            <w:tcW w:w="8505" w:type="dxa"/>
          </w:tcPr>
          <w:p w14:paraId="0250EE8F" w14:textId="5411E41A" w:rsidR="007E4CAF" w:rsidRPr="009D0E5A" w:rsidRDefault="00F74C4E" w:rsidP="009D0E5A">
            <w:pPr>
              <w:spacing w:after="0" w:line="240" w:lineRule="auto"/>
              <w:rPr>
                <w:rFonts w:cs="Calibri"/>
                <w:color w:val="E36C0A" w:themeColor="accent6" w:themeShade="BF"/>
                <w:u w:val="single"/>
              </w:rPr>
            </w:pPr>
            <w:r w:rsidRPr="009D0E5A">
              <w:rPr>
                <w:rFonts w:cs="Calibri"/>
                <w:color w:val="E36C0A" w:themeColor="accent6" w:themeShade="BF"/>
                <w:u w:val="single"/>
              </w:rPr>
              <w:t>Prescribed Fees</w:t>
            </w:r>
            <w:r w:rsidR="007E4CAF" w:rsidRPr="009D0E5A">
              <w:rPr>
                <w:rFonts w:cs="Calibri"/>
                <w:color w:val="F57E1B"/>
                <w:sz w:val="20"/>
                <w:szCs w:val="20"/>
                <w:u w:val="single"/>
              </w:rPr>
              <w:br/>
            </w:r>
            <w:r w:rsidRPr="009D0E5A">
              <w:rPr>
                <w:rFonts w:cs="Calibri"/>
              </w:rPr>
              <w:t>The EA shall not charge or receive any form of fees, remuneration, profit or compensation oth</w:t>
            </w:r>
            <w:r w:rsidR="009D0E5A">
              <w:rPr>
                <w:rFonts w:cs="Calibri"/>
              </w:rPr>
              <w:t xml:space="preserve">erwise than the prescribed fees </w:t>
            </w:r>
            <w:r w:rsidR="00A87800" w:rsidRPr="009D0E5A">
              <w:rPr>
                <w:rFonts w:cs="Calibri"/>
              </w:rPr>
              <w:t xml:space="preserve">(e.g. registration fee, placement fee deposit, </w:t>
            </w:r>
            <w:proofErr w:type="spellStart"/>
            <w:r w:rsidR="00A87800" w:rsidRPr="009D0E5A">
              <w:rPr>
                <w:rFonts w:cs="Calibri"/>
              </w:rPr>
              <w:t>etc</w:t>
            </w:r>
            <w:proofErr w:type="spellEnd"/>
            <w:r w:rsidR="00A87800" w:rsidRPr="009D0E5A">
              <w:rPr>
                <w:rFonts w:cs="Calibri"/>
              </w:rPr>
              <w:t>)</w:t>
            </w:r>
            <w:r w:rsidR="009D0E5A">
              <w:rPr>
                <w:rFonts w:cs="Calibri"/>
              </w:rPr>
              <w:t>.</w:t>
            </w:r>
          </w:p>
        </w:tc>
        <w:tc>
          <w:tcPr>
            <w:tcW w:w="850" w:type="dxa"/>
          </w:tcPr>
          <w:p w14:paraId="75DCA522" w14:textId="77777777" w:rsidR="007E4CAF" w:rsidRPr="00A81B05" w:rsidRDefault="007E4CAF" w:rsidP="00482DDC">
            <w:pPr>
              <w:spacing w:after="0" w:line="264" w:lineRule="auto"/>
              <w:jc w:val="center"/>
              <w:rPr>
                <w:rFonts w:cs="Calibri"/>
              </w:rPr>
            </w:pPr>
          </w:p>
        </w:tc>
        <w:tc>
          <w:tcPr>
            <w:tcW w:w="850" w:type="dxa"/>
          </w:tcPr>
          <w:p w14:paraId="2CB80A9B" w14:textId="77777777" w:rsidR="007E4CAF" w:rsidRPr="00A81B05" w:rsidRDefault="007E4CAF" w:rsidP="00482DDC">
            <w:pPr>
              <w:spacing w:after="0" w:line="264" w:lineRule="auto"/>
              <w:jc w:val="center"/>
              <w:rPr>
                <w:rFonts w:cs="Calibri"/>
              </w:rPr>
            </w:pPr>
          </w:p>
        </w:tc>
      </w:tr>
      <w:tr w:rsidR="001C1E01" w:rsidRPr="00A81B05" w14:paraId="48444CD1" w14:textId="77777777" w:rsidTr="000C7E34">
        <w:tc>
          <w:tcPr>
            <w:tcW w:w="534" w:type="dxa"/>
          </w:tcPr>
          <w:p w14:paraId="48444CCC" w14:textId="1EB6B64E" w:rsidR="001C1E01" w:rsidRPr="009D0E5A" w:rsidRDefault="001C1E01" w:rsidP="00482DDC">
            <w:pPr>
              <w:spacing w:after="0" w:line="264" w:lineRule="auto"/>
              <w:jc w:val="center"/>
              <w:rPr>
                <w:rFonts w:cs="Calibri"/>
              </w:rPr>
            </w:pPr>
            <w:r w:rsidRPr="009D0E5A">
              <w:rPr>
                <w:rFonts w:cs="Calibri"/>
              </w:rPr>
              <w:t>1</w:t>
            </w:r>
            <w:r w:rsidR="002D0BC4" w:rsidRPr="009D0E5A">
              <w:rPr>
                <w:rFonts w:cs="Calibri"/>
              </w:rPr>
              <w:t>4</w:t>
            </w:r>
          </w:p>
        </w:tc>
        <w:tc>
          <w:tcPr>
            <w:tcW w:w="8505" w:type="dxa"/>
          </w:tcPr>
          <w:p w14:paraId="48444CCD" w14:textId="77777777" w:rsidR="00116EFC" w:rsidRPr="009D0E5A" w:rsidRDefault="00116EFC" w:rsidP="0016050B">
            <w:pPr>
              <w:spacing w:after="0" w:line="240" w:lineRule="auto"/>
              <w:rPr>
                <w:rFonts w:cs="Calibri"/>
                <w:color w:val="E36C0A" w:themeColor="accent6" w:themeShade="BF"/>
                <w:u w:val="single"/>
              </w:rPr>
            </w:pPr>
            <w:r w:rsidRPr="009D0E5A">
              <w:rPr>
                <w:rFonts w:cs="Calibri"/>
                <w:color w:val="E36C0A" w:themeColor="accent6" w:themeShade="BF"/>
                <w:u w:val="single"/>
              </w:rPr>
              <w:t>Refund</w:t>
            </w:r>
            <w:r w:rsidR="0067688F" w:rsidRPr="009D0E5A">
              <w:rPr>
                <w:rFonts w:cs="Calibri"/>
                <w:color w:val="E36C0A" w:themeColor="accent6" w:themeShade="BF"/>
                <w:u w:val="single"/>
              </w:rPr>
              <w:t xml:space="preserve"> </w:t>
            </w:r>
          </w:p>
          <w:p w14:paraId="48444CCE" w14:textId="77777777" w:rsidR="001C1E01" w:rsidRPr="009D0E5A" w:rsidRDefault="001C1E01" w:rsidP="0016050B">
            <w:pPr>
              <w:spacing w:after="0" w:line="240" w:lineRule="auto"/>
              <w:rPr>
                <w:rFonts w:cs="Calibri"/>
              </w:rPr>
            </w:pPr>
            <w:r w:rsidRPr="009D0E5A">
              <w:rPr>
                <w:rFonts w:cs="Calibri"/>
              </w:rPr>
              <w:t>The EA refunds at least 50% of fees received from an applicant if the employer fails to employ the applicant or if the employer terminates the employment within 6 months.</w:t>
            </w:r>
          </w:p>
        </w:tc>
        <w:tc>
          <w:tcPr>
            <w:tcW w:w="850" w:type="dxa"/>
          </w:tcPr>
          <w:p w14:paraId="48444CCF" w14:textId="77777777" w:rsidR="001C1E01" w:rsidRPr="00A81B05" w:rsidRDefault="001C1E01" w:rsidP="00482DDC">
            <w:pPr>
              <w:spacing w:after="0" w:line="264" w:lineRule="auto"/>
              <w:jc w:val="center"/>
              <w:rPr>
                <w:rFonts w:cs="Calibri"/>
              </w:rPr>
            </w:pPr>
          </w:p>
        </w:tc>
        <w:tc>
          <w:tcPr>
            <w:tcW w:w="850" w:type="dxa"/>
          </w:tcPr>
          <w:p w14:paraId="48444CD0" w14:textId="77777777" w:rsidR="001C1E01" w:rsidRPr="00A81B05" w:rsidRDefault="001C1E01" w:rsidP="00482DDC">
            <w:pPr>
              <w:spacing w:after="0" w:line="264" w:lineRule="auto"/>
              <w:jc w:val="center"/>
              <w:rPr>
                <w:rFonts w:cs="Calibri"/>
              </w:rPr>
            </w:pPr>
          </w:p>
        </w:tc>
      </w:tr>
      <w:tr w:rsidR="001C1E01" w:rsidRPr="00A81B05" w14:paraId="48444CD7" w14:textId="77777777" w:rsidTr="00C00DD5">
        <w:tc>
          <w:tcPr>
            <w:tcW w:w="534" w:type="dxa"/>
            <w:tcBorders>
              <w:bottom w:val="single" w:sz="4" w:space="0" w:color="auto"/>
            </w:tcBorders>
          </w:tcPr>
          <w:p w14:paraId="48444CD2" w14:textId="60589A08" w:rsidR="001C1E01" w:rsidRPr="009D0E5A" w:rsidRDefault="001C1E01" w:rsidP="002D0BC4">
            <w:pPr>
              <w:spacing w:after="0" w:line="264" w:lineRule="auto"/>
              <w:jc w:val="center"/>
              <w:rPr>
                <w:rFonts w:cs="Calibri"/>
              </w:rPr>
            </w:pPr>
            <w:r w:rsidRPr="009D0E5A">
              <w:rPr>
                <w:rFonts w:cs="Calibri"/>
              </w:rPr>
              <w:t>1</w:t>
            </w:r>
            <w:r w:rsidR="002D0BC4" w:rsidRPr="009D0E5A">
              <w:rPr>
                <w:rFonts w:cs="Calibri"/>
              </w:rPr>
              <w:t>5</w:t>
            </w:r>
          </w:p>
        </w:tc>
        <w:tc>
          <w:tcPr>
            <w:tcW w:w="8505" w:type="dxa"/>
            <w:tcBorders>
              <w:bottom w:val="single" w:sz="4" w:space="0" w:color="auto"/>
            </w:tcBorders>
          </w:tcPr>
          <w:p w14:paraId="48444CD3" w14:textId="77777777" w:rsidR="006600F6" w:rsidRPr="009D0E5A" w:rsidRDefault="00116EFC" w:rsidP="00D35959">
            <w:pPr>
              <w:spacing w:after="0" w:line="240" w:lineRule="auto"/>
              <w:rPr>
                <w:rFonts w:cs="Calibri"/>
                <w:color w:val="E36C0A" w:themeColor="accent6" w:themeShade="BF"/>
                <w:u w:val="single"/>
              </w:rPr>
            </w:pPr>
            <w:r w:rsidRPr="009D0E5A">
              <w:rPr>
                <w:rFonts w:cs="Calibri"/>
                <w:color w:val="E36C0A" w:themeColor="accent6" w:themeShade="BF"/>
                <w:u w:val="single"/>
              </w:rPr>
              <w:t xml:space="preserve">Itemized Receipt </w:t>
            </w:r>
          </w:p>
          <w:p w14:paraId="48444CD4" w14:textId="77777777" w:rsidR="001C1E01" w:rsidRPr="009D0E5A" w:rsidRDefault="00EF1051" w:rsidP="00D35959">
            <w:pPr>
              <w:spacing w:after="0" w:line="240" w:lineRule="auto"/>
              <w:rPr>
                <w:rFonts w:cs="Calibri"/>
              </w:rPr>
            </w:pPr>
            <w:r w:rsidRPr="009D0E5A">
              <w:rPr>
                <w:rFonts w:cs="Calibri"/>
              </w:rPr>
              <w:t>The EA issues a</w:t>
            </w:r>
            <w:r w:rsidR="001C1E01" w:rsidRPr="009D0E5A">
              <w:rPr>
                <w:rFonts w:cs="Calibri"/>
              </w:rPr>
              <w:t>n itemized receipt</w:t>
            </w:r>
            <w:r w:rsidRPr="009D0E5A">
              <w:rPr>
                <w:rFonts w:cs="Calibri"/>
              </w:rPr>
              <w:t xml:space="preserve"> </w:t>
            </w:r>
            <w:r w:rsidR="00D35959" w:rsidRPr="009D0E5A">
              <w:rPr>
                <w:rFonts w:cs="Calibri"/>
              </w:rPr>
              <w:t>to the applicant for employment</w:t>
            </w:r>
            <w:r w:rsidR="001C1E01" w:rsidRPr="009D0E5A">
              <w:rPr>
                <w:rFonts w:cs="Calibri"/>
              </w:rPr>
              <w:t xml:space="preserve"> for fees received, whether directly or indirectly</w:t>
            </w:r>
            <w:r w:rsidRPr="009D0E5A">
              <w:rPr>
                <w:rFonts w:cs="Calibri"/>
              </w:rPr>
              <w:t xml:space="preserve">, from </w:t>
            </w:r>
            <w:r w:rsidR="00D35959" w:rsidRPr="009D0E5A">
              <w:rPr>
                <w:rFonts w:cs="Calibri"/>
              </w:rPr>
              <w:t>him/her</w:t>
            </w:r>
            <w:r w:rsidR="001C1E01" w:rsidRPr="009D0E5A">
              <w:rPr>
                <w:rFonts w:cs="Calibri"/>
              </w:rPr>
              <w:t xml:space="preserve">. The receipt should inform the </w:t>
            </w:r>
            <w:r w:rsidR="00D35959" w:rsidRPr="009D0E5A">
              <w:rPr>
                <w:rFonts w:cs="Calibri"/>
              </w:rPr>
              <w:t xml:space="preserve">applicant for employment </w:t>
            </w:r>
            <w:r w:rsidR="001C1E01" w:rsidRPr="009D0E5A">
              <w:rPr>
                <w:rFonts w:cs="Calibri"/>
              </w:rPr>
              <w:t xml:space="preserve">how much the Singapore EA is charging </w:t>
            </w:r>
            <w:r w:rsidR="00D35959" w:rsidRPr="009D0E5A">
              <w:rPr>
                <w:rFonts w:cs="Calibri"/>
              </w:rPr>
              <w:t>him/</w:t>
            </w:r>
            <w:r w:rsidR="001C1E01" w:rsidRPr="009D0E5A">
              <w:rPr>
                <w:rFonts w:cs="Calibri"/>
              </w:rPr>
              <w:t xml:space="preserve">her. </w:t>
            </w:r>
          </w:p>
        </w:tc>
        <w:tc>
          <w:tcPr>
            <w:tcW w:w="850" w:type="dxa"/>
            <w:tcBorders>
              <w:bottom w:val="single" w:sz="4" w:space="0" w:color="auto"/>
            </w:tcBorders>
          </w:tcPr>
          <w:p w14:paraId="48444CD5" w14:textId="77777777" w:rsidR="001C1E01" w:rsidRPr="00A81B05" w:rsidRDefault="001C1E01" w:rsidP="00482DDC">
            <w:pPr>
              <w:spacing w:after="0" w:line="264" w:lineRule="auto"/>
              <w:jc w:val="center"/>
              <w:rPr>
                <w:rFonts w:cs="Calibri"/>
              </w:rPr>
            </w:pPr>
          </w:p>
        </w:tc>
        <w:tc>
          <w:tcPr>
            <w:tcW w:w="850" w:type="dxa"/>
            <w:tcBorders>
              <w:bottom w:val="single" w:sz="4" w:space="0" w:color="auto"/>
            </w:tcBorders>
          </w:tcPr>
          <w:p w14:paraId="48444CD6" w14:textId="77777777" w:rsidR="001C1E01" w:rsidRPr="00A81B05" w:rsidRDefault="001C1E01" w:rsidP="00482DDC">
            <w:pPr>
              <w:spacing w:after="0" w:line="264" w:lineRule="auto"/>
              <w:jc w:val="center"/>
              <w:rPr>
                <w:rFonts w:cs="Calibri"/>
              </w:rPr>
            </w:pPr>
          </w:p>
        </w:tc>
      </w:tr>
      <w:tr w:rsidR="00C00DD5" w:rsidRPr="00A81B05" w14:paraId="48444CDD" w14:textId="77777777" w:rsidTr="0040127F">
        <w:tc>
          <w:tcPr>
            <w:tcW w:w="534" w:type="dxa"/>
          </w:tcPr>
          <w:p w14:paraId="48444CD8" w14:textId="14753579" w:rsidR="00C00DD5" w:rsidRPr="009D0E5A" w:rsidRDefault="002D0BC4" w:rsidP="0040127F">
            <w:pPr>
              <w:spacing w:after="0" w:line="264" w:lineRule="auto"/>
              <w:jc w:val="center"/>
              <w:rPr>
                <w:rFonts w:cs="Calibri"/>
              </w:rPr>
            </w:pPr>
            <w:r w:rsidRPr="009D0E5A">
              <w:rPr>
                <w:rFonts w:cs="Calibri"/>
              </w:rPr>
              <w:t>16</w:t>
            </w:r>
          </w:p>
        </w:tc>
        <w:tc>
          <w:tcPr>
            <w:tcW w:w="8505" w:type="dxa"/>
          </w:tcPr>
          <w:p w14:paraId="48444CD9" w14:textId="77777777" w:rsidR="00C00DD5" w:rsidRPr="009D0E5A" w:rsidRDefault="00D35959" w:rsidP="0040127F">
            <w:pPr>
              <w:spacing w:after="0" w:line="240" w:lineRule="auto"/>
              <w:rPr>
                <w:rFonts w:cs="Calibri"/>
                <w:color w:val="E36C0A" w:themeColor="accent6" w:themeShade="BF"/>
                <w:u w:val="single"/>
              </w:rPr>
            </w:pPr>
            <w:r w:rsidRPr="009D0E5A">
              <w:rPr>
                <w:rFonts w:cs="Calibri"/>
                <w:color w:val="E36C0A" w:themeColor="accent6" w:themeShade="BF"/>
                <w:u w:val="single"/>
              </w:rPr>
              <w:t>Withholding the Passport of Foreign Applicants for Employment</w:t>
            </w:r>
          </w:p>
          <w:p w14:paraId="48444CDA" w14:textId="77777777" w:rsidR="00C00DD5" w:rsidRPr="009D0E5A" w:rsidRDefault="00EF1051" w:rsidP="001061C9">
            <w:pPr>
              <w:spacing w:after="0" w:line="240" w:lineRule="auto"/>
              <w:rPr>
                <w:rFonts w:cs="Calibri"/>
              </w:rPr>
            </w:pPr>
            <w:r w:rsidRPr="009D0E5A">
              <w:rPr>
                <w:rFonts w:cs="Calibri"/>
              </w:rPr>
              <w:t>The EA returns or delivers p</w:t>
            </w:r>
            <w:r w:rsidR="00C00DD5" w:rsidRPr="009D0E5A">
              <w:rPr>
                <w:rFonts w:cs="Calibri"/>
              </w:rPr>
              <w:t xml:space="preserve">assports and other documents of identity to foreign </w:t>
            </w:r>
            <w:r w:rsidR="001061C9" w:rsidRPr="009D0E5A">
              <w:rPr>
                <w:rFonts w:cs="Calibri"/>
              </w:rPr>
              <w:t xml:space="preserve">applicants </w:t>
            </w:r>
            <w:r w:rsidR="00C00DD5" w:rsidRPr="009D0E5A">
              <w:rPr>
                <w:rFonts w:cs="Calibri"/>
              </w:rPr>
              <w:t>directly as soon as practicable.</w:t>
            </w:r>
          </w:p>
        </w:tc>
        <w:tc>
          <w:tcPr>
            <w:tcW w:w="850" w:type="dxa"/>
          </w:tcPr>
          <w:p w14:paraId="48444CDB" w14:textId="77777777" w:rsidR="00C00DD5" w:rsidRPr="00A81B05" w:rsidRDefault="00C00DD5" w:rsidP="0040127F">
            <w:pPr>
              <w:spacing w:after="0" w:line="264" w:lineRule="auto"/>
              <w:jc w:val="center"/>
              <w:rPr>
                <w:rFonts w:cs="Calibri"/>
              </w:rPr>
            </w:pPr>
          </w:p>
        </w:tc>
        <w:tc>
          <w:tcPr>
            <w:tcW w:w="850" w:type="dxa"/>
          </w:tcPr>
          <w:p w14:paraId="48444CDC" w14:textId="77777777" w:rsidR="00C00DD5" w:rsidRPr="00A81B05" w:rsidRDefault="00C00DD5" w:rsidP="0040127F">
            <w:pPr>
              <w:spacing w:after="0" w:line="264" w:lineRule="auto"/>
              <w:jc w:val="center"/>
              <w:rPr>
                <w:rFonts w:cs="Calibri"/>
              </w:rPr>
            </w:pPr>
          </w:p>
        </w:tc>
      </w:tr>
      <w:tr w:rsidR="00C00DD5" w:rsidRPr="00A81B05" w14:paraId="48444CE3" w14:textId="77777777" w:rsidTr="00A53D53">
        <w:tc>
          <w:tcPr>
            <w:tcW w:w="534" w:type="dxa"/>
            <w:tcBorders>
              <w:bottom w:val="single" w:sz="4" w:space="0" w:color="auto"/>
            </w:tcBorders>
          </w:tcPr>
          <w:p w14:paraId="48444CDE" w14:textId="5BF72C28" w:rsidR="00C00DD5" w:rsidRPr="009D0E5A" w:rsidRDefault="0040127F" w:rsidP="0040127F">
            <w:pPr>
              <w:spacing w:after="0" w:line="264" w:lineRule="auto"/>
              <w:jc w:val="center"/>
              <w:rPr>
                <w:rFonts w:cs="Calibri"/>
              </w:rPr>
            </w:pPr>
            <w:r w:rsidRPr="009D0E5A">
              <w:rPr>
                <w:rFonts w:cs="Calibri"/>
              </w:rPr>
              <w:t>1</w:t>
            </w:r>
            <w:r w:rsidR="002D0BC4" w:rsidRPr="009D0E5A">
              <w:rPr>
                <w:rFonts w:cs="Calibri"/>
              </w:rPr>
              <w:t>7</w:t>
            </w:r>
          </w:p>
        </w:tc>
        <w:tc>
          <w:tcPr>
            <w:tcW w:w="8505" w:type="dxa"/>
            <w:tcBorders>
              <w:bottom w:val="single" w:sz="4" w:space="0" w:color="auto"/>
            </w:tcBorders>
          </w:tcPr>
          <w:p w14:paraId="48444CDF" w14:textId="77777777" w:rsidR="0067688F" w:rsidRPr="009D0E5A" w:rsidRDefault="0067688F" w:rsidP="006B0FA0">
            <w:pPr>
              <w:spacing w:after="0" w:line="240" w:lineRule="auto"/>
              <w:rPr>
                <w:rFonts w:cs="Calibri"/>
              </w:rPr>
            </w:pPr>
            <w:r w:rsidRPr="009D0E5A">
              <w:rPr>
                <w:rFonts w:cs="Calibri"/>
                <w:color w:val="E36C0A" w:themeColor="accent6" w:themeShade="BF"/>
                <w:u w:val="single"/>
              </w:rPr>
              <w:t xml:space="preserve">Retention or Transfer of Passports </w:t>
            </w:r>
            <w:r w:rsidR="00F31824" w:rsidRPr="009D0E5A">
              <w:rPr>
                <w:rFonts w:cs="Calibri"/>
                <w:color w:val="E36C0A" w:themeColor="accent6" w:themeShade="BF"/>
                <w:u w:val="single"/>
              </w:rPr>
              <w:t>of Foreign Applicants for Employment</w:t>
            </w:r>
          </w:p>
          <w:p w14:paraId="48444CE0" w14:textId="77777777" w:rsidR="00C00DD5" w:rsidRPr="009D0E5A" w:rsidRDefault="00EF1051" w:rsidP="001061C9">
            <w:pPr>
              <w:spacing w:after="0" w:line="240" w:lineRule="auto"/>
              <w:rPr>
                <w:rFonts w:cs="Calibri"/>
              </w:rPr>
            </w:pPr>
            <w:r w:rsidRPr="009D0E5A">
              <w:rPr>
                <w:rFonts w:cs="Calibri"/>
              </w:rPr>
              <w:t xml:space="preserve">The </w:t>
            </w:r>
            <w:r w:rsidR="006B0FA0" w:rsidRPr="009D0E5A">
              <w:rPr>
                <w:rFonts w:cs="Calibri"/>
              </w:rPr>
              <w:t xml:space="preserve">EA does not make </w:t>
            </w:r>
            <w:r w:rsidR="00C00DD5" w:rsidRPr="009D0E5A">
              <w:rPr>
                <w:rFonts w:cs="Calibri"/>
              </w:rPr>
              <w:t xml:space="preserve">agreements with foreign </w:t>
            </w:r>
            <w:r w:rsidR="001061C9" w:rsidRPr="009D0E5A">
              <w:rPr>
                <w:rFonts w:cs="Calibri"/>
              </w:rPr>
              <w:t xml:space="preserve">applicants </w:t>
            </w:r>
            <w:r w:rsidR="00C00DD5" w:rsidRPr="009D0E5A">
              <w:rPr>
                <w:rFonts w:cs="Calibri"/>
              </w:rPr>
              <w:t xml:space="preserve">to retain and/or transfer possession of </w:t>
            </w:r>
            <w:r w:rsidR="001061C9" w:rsidRPr="009D0E5A">
              <w:rPr>
                <w:rFonts w:cs="Calibri"/>
              </w:rPr>
              <w:t>their</w:t>
            </w:r>
            <w:r w:rsidR="00C00DD5" w:rsidRPr="009D0E5A">
              <w:rPr>
                <w:rFonts w:cs="Calibri"/>
              </w:rPr>
              <w:t xml:space="preserve"> passports or work passes.</w:t>
            </w:r>
          </w:p>
        </w:tc>
        <w:tc>
          <w:tcPr>
            <w:tcW w:w="850" w:type="dxa"/>
            <w:tcBorders>
              <w:bottom w:val="single" w:sz="4" w:space="0" w:color="auto"/>
            </w:tcBorders>
          </w:tcPr>
          <w:p w14:paraId="48444CE1" w14:textId="77777777" w:rsidR="00C00DD5" w:rsidRPr="00A81B05" w:rsidRDefault="00C00DD5" w:rsidP="0040127F">
            <w:pPr>
              <w:spacing w:after="0" w:line="264" w:lineRule="auto"/>
              <w:jc w:val="center"/>
              <w:rPr>
                <w:rFonts w:cs="Calibri"/>
              </w:rPr>
            </w:pPr>
          </w:p>
        </w:tc>
        <w:tc>
          <w:tcPr>
            <w:tcW w:w="850" w:type="dxa"/>
            <w:tcBorders>
              <w:bottom w:val="single" w:sz="4" w:space="0" w:color="auto"/>
            </w:tcBorders>
          </w:tcPr>
          <w:p w14:paraId="48444CE2" w14:textId="77777777" w:rsidR="00C00DD5" w:rsidRPr="00A81B05" w:rsidRDefault="00C00DD5" w:rsidP="0040127F">
            <w:pPr>
              <w:spacing w:after="0" w:line="264" w:lineRule="auto"/>
              <w:jc w:val="center"/>
              <w:rPr>
                <w:rFonts w:cs="Calibri"/>
              </w:rPr>
            </w:pPr>
          </w:p>
        </w:tc>
      </w:tr>
      <w:tr w:rsidR="003B1741" w:rsidRPr="00A81B05" w14:paraId="48444CE9" w14:textId="77777777" w:rsidTr="00782F21">
        <w:tc>
          <w:tcPr>
            <w:tcW w:w="534" w:type="dxa"/>
          </w:tcPr>
          <w:p w14:paraId="48444CE4" w14:textId="2DF1847E" w:rsidR="003B1741" w:rsidRPr="009D0E5A" w:rsidRDefault="003B1741" w:rsidP="00782F21">
            <w:pPr>
              <w:spacing w:after="0" w:line="264" w:lineRule="auto"/>
              <w:ind w:left="-142" w:right="-108"/>
              <w:jc w:val="center"/>
              <w:rPr>
                <w:rFonts w:cs="Calibri"/>
              </w:rPr>
            </w:pPr>
            <w:r w:rsidRPr="009D0E5A">
              <w:rPr>
                <w:rFonts w:cs="Calibri"/>
              </w:rPr>
              <w:t>1</w:t>
            </w:r>
            <w:r w:rsidR="002D0BC4" w:rsidRPr="009D0E5A">
              <w:rPr>
                <w:rFonts w:cs="Calibri"/>
              </w:rPr>
              <w:t>8</w:t>
            </w:r>
          </w:p>
        </w:tc>
        <w:tc>
          <w:tcPr>
            <w:tcW w:w="8505" w:type="dxa"/>
          </w:tcPr>
          <w:p w14:paraId="522DD116" w14:textId="09BDD96A" w:rsidR="007E4CAF" w:rsidRPr="009D0E5A" w:rsidRDefault="00F74C4E" w:rsidP="007E4CAF">
            <w:pPr>
              <w:spacing w:after="0" w:line="240" w:lineRule="auto"/>
              <w:rPr>
                <w:rFonts w:cs="Calibri"/>
                <w:color w:val="E36C0A" w:themeColor="accent6" w:themeShade="BF"/>
                <w:sz w:val="20"/>
                <w:szCs w:val="20"/>
                <w:u w:val="single"/>
              </w:rPr>
            </w:pPr>
            <w:r w:rsidRPr="009D0E5A">
              <w:rPr>
                <w:rFonts w:cs="Calibri"/>
                <w:color w:val="E36C0A" w:themeColor="accent6" w:themeShade="BF"/>
                <w:u w:val="single"/>
              </w:rPr>
              <w:t xml:space="preserve">Furnishing of IPA to </w:t>
            </w:r>
            <w:r w:rsidR="00F7460C" w:rsidRPr="009D0E5A">
              <w:rPr>
                <w:rFonts w:cs="Calibri"/>
                <w:color w:val="E36C0A" w:themeColor="accent6" w:themeShade="BF"/>
                <w:u w:val="single"/>
              </w:rPr>
              <w:t>Foreign Applicants for Employment</w:t>
            </w:r>
            <w:r w:rsidR="007E4CAF" w:rsidRPr="009D0E5A">
              <w:rPr>
                <w:rFonts w:cs="Calibri"/>
                <w:color w:val="E36C0A" w:themeColor="accent6" w:themeShade="BF"/>
                <w:sz w:val="20"/>
                <w:szCs w:val="20"/>
              </w:rPr>
              <w:t xml:space="preserve"> </w:t>
            </w:r>
            <w:r w:rsidR="007E4CAF" w:rsidRPr="009D0E5A">
              <w:rPr>
                <w:rFonts w:cs="Calibri"/>
                <w:i/>
                <w:sz w:val="16"/>
                <w:szCs w:val="16"/>
              </w:rPr>
              <w:t>(</w:t>
            </w:r>
            <w:proofErr w:type="spellStart"/>
            <w:r w:rsidR="007E4CAF" w:rsidRPr="009D0E5A">
              <w:rPr>
                <w:rFonts w:cs="Calibri"/>
                <w:i/>
                <w:sz w:val="16"/>
                <w:szCs w:val="16"/>
              </w:rPr>
              <w:t>wef</w:t>
            </w:r>
            <w:proofErr w:type="spellEnd"/>
            <w:r w:rsidR="007E4CAF" w:rsidRPr="009D0E5A">
              <w:rPr>
                <w:rFonts w:cs="Calibri"/>
                <w:i/>
                <w:sz w:val="16"/>
                <w:szCs w:val="16"/>
              </w:rPr>
              <w:t xml:space="preserve"> 1 Dec 16)</w:t>
            </w:r>
          </w:p>
          <w:p w14:paraId="6D539D4E" w14:textId="77777777" w:rsidR="00C34BE8" w:rsidRDefault="00D5230B" w:rsidP="00C34BE8">
            <w:pPr>
              <w:spacing w:after="0" w:line="240" w:lineRule="auto"/>
              <w:rPr>
                <w:rFonts w:cs="Calibri"/>
              </w:rPr>
            </w:pPr>
            <w:r w:rsidRPr="009D0E5A">
              <w:rPr>
                <w:rFonts w:cs="Calibri"/>
              </w:rPr>
              <w:t>The</w:t>
            </w:r>
            <w:r w:rsidR="007E4CAF" w:rsidRPr="009D0E5A">
              <w:rPr>
                <w:rFonts w:cs="Calibri"/>
              </w:rPr>
              <w:t xml:space="preserve"> EA </w:t>
            </w:r>
            <w:r w:rsidR="00790BBA" w:rsidRPr="009D0E5A">
              <w:rPr>
                <w:rFonts w:cs="Calibri"/>
              </w:rPr>
              <w:t>shall take all necessary steps to</w:t>
            </w:r>
            <w:r w:rsidRPr="009D0E5A">
              <w:rPr>
                <w:rFonts w:cs="Calibri"/>
              </w:rPr>
              <w:t xml:space="preserve"> ensure that the F</w:t>
            </w:r>
            <w:r w:rsidR="0083448A" w:rsidRPr="009D0E5A">
              <w:rPr>
                <w:rFonts w:cs="Calibri"/>
              </w:rPr>
              <w:t>oreign Employee</w:t>
            </w:r>
            <w:r w:rsidR="007E4CAF" w:rsidRPr="009D0E5A">
              <w:rPr>
                <w:rFonts w:cs="Calibri"/>
              </w:rPr>
              <w:t xml:space="preserve"> receives the entire IPA at least 3 to 7 days* prior to </w:t>
            </w:r>
            <w:r w:rsidR="00790BBA" w:rsidRPr="009D0E5A">
              <w:rPr>
                <w:rFonts w:cs="Calibri"/>
              </w:rPr>
              <w:t>their</w:t>
            </w:r>
            <w:r w:rsidR="007E4CAF" w:rsidRPr="009D0E5A">
              <w:rPr>
                <w:rFonts w:cs="Calibri"/>
              </w:rPr>
              <w:t xml:space="preserve"> departure for Singap</w:t>
            </w:r>
            <w:r w:rsidRPr="009D0E5A">
              <w:rPr>
                <w:rFonts w:cs="Calibri"/>
              </w:rPr>
              <w:t>ore. EAs shall also allow the F</w:t>
            </w:r>
            <w:r w:rsidR="0083448A" w:rsidRPr="009D0E5A">
              <w:rPr>
                <w:rFonts w:cs="Calibri"/>
              </w:rPr>
              <w:t>oreign Employees</w:t>
            </w:r>
            <w:r w:rsidR="007E4CAF" w:rsidRPr="009D0E5A">
              <w:rPr>
                <w:rFonts w:cs="Calibri"/>
              </w:rPr>
              <w:t xml:space="preserve"> to retain their IPA letter. EAs must be able to furnish documentary proof of such steps. </w:t>
            </w:r>
          </w:p>
          <w:p w14:paraId="48444CE6" w14:textId="3087FC07" w:rsidR="003B1741" w:rsidRPr="009D0E5A" w:rsidRDefault="007E4CAF" w:rsidP="00C34BE8">
            <w:pPr>
              <w:spacing w:after="0" w:line="240" w:lineRule="auto"/>
              <w:rPr>
                <w:rFonts w:cs="Calibri"/>
                <w:sz w:val="20"/>
                <w:szCs w:val="20"/>
              </w:rPr>
            </w:pPr>
            <w:r w:rsidRPr="009D0E5A">
              <w:rPr>
                <w:rFonts w:cs="Calibri"/>
                <w:sz w:val="20"/>
                <w:szCs w:val="20"/>
              </w:rPr>
              <w:t>(Note: To check the details of the IPA sent, i.e. the name and WP no. are the same as our records.)</w:t>
            </w:r>
            <w:r w:rsidR="009D0E5A">
              <w:rPr>
                <w:rFonts w:cs="Calibri"/>
                <w:sz w:val="20"/>
                <w:szCs w:val="20"/>
              </w:rPr>
              <w:t xml:space="preserve"> </w:t>
            </w:r>
            <w:r w:rsidRPr="009D0E5A">
              <w:rPr>
                <w:rFonts w:cs="Calibri"/>
                <w:i/>
                <w:sz w:val="20"/>
                <w:szCs w:val="20"/>
              </w:rPr>
              <w:t>*refer to calendar days</w:t>
            </w:r>
          </w:p>
        </w:tc>
        <w:tc>
          <w:tcPr>
            <w:tcW w:w="850" w:type="dxa"/>
          </w:tcPr>
          <w:p w14:paraId="48444CE7" w14:textId="77777777" w:rsidR="003B1741" w:rsidRPr="00A81B05" w:rsidRDefault="003B1741" w:rsidP="00782F21">
            <w:pPr>
              <w:spacing w:after="0" w:line="264" w:lineRule="auto"/>
              <w:jc w:val="center"/>
              <w:rPr>
                <w:rFonts w:cs="Calibri"/>
              </w:rPr>
            </w:pPr>
          </w:p>
        </w:tc>
        <w:tc>
          <w:tcPr>
            <w:tcW w:w="850" w:type="dxa"/>
          </w:tcPr>
          <w:p w14:paraId="48444CE8" w14:textId="77777777" w:rsidR="003B1741" w:rsidRPr="00A81B05" w:rsidRDefault="003B1741" w:rsidP="00782F21">
            <w:pPr>
              <w:spacing w:after="0" w:line="264" w:lineRule="auto"/>
              <w:jc w:val="center"/>
              <w:rPr>
                <w:rFonts w:cs="Calibri"/>
              </w:rPr>
            </w:pPr>
          </w:p>
        </w:tc>
      </w:tr>
      <w:tr w:rsidR="00D6564A" w:rsidRPr="00B538FF" w14:paraId="48444CEF" w14:textId="77777777" w:rsidTr="00782F21">
        <w:tc>
          <w:tcPr>
            <w:tcW w:w="534" w:type="dxa"/>
          </w:tcPr>
          <w:p w14:paraId="48444CEA" w14:textId="2A95512D" w:rsidR="00D6564A" w:rsidRPr="009D0E5A" w:rsidRDefault="002D0BC4" w:rsidP="00782F21">
            <w:pPr>
              <w:spacing w:after="0" w:line="264" w:lineRule="auto"/>
              <w:ind w:left="-142" w:right="-108"/>
              <w:jc w:val="center"/>
              <w:rPr>
                <w:rFonts w:cs="Calibri"/>
              </w:rPr>
            </w:pPr>
            <w:r w:rsidRPr="009D0E5A">
              <w:rPr>
                <w:rFonts w:cs="Calibri"/>
              </w:rPr>
              <w:t>19</w:t>
            </w:r>
          </w:p>
        </w:tc>
        <w:tc>
          <w:tcPr>
            <w:tcW w:w="8505" w:type="dxa"/>
          </w:tcPr>
          <w:p w14:paraId="48444CEB" w14:textId="49BD93AC" w:rsidR="00D6564A" w:rsidRPr="009D0E5A" w:rsidRDefault="00D6564A" w:rsidP="00D6564A">
            <w:pPr>
              <w:spacing w:after="0" w:line="240" w:lineRule="auto"/>
              <w:rPr>
                <w:rFonts w:cs="Calibri"/>
                <w:color w:val="E36C0A" w:themeColor="accent6" w:themeShade="BF"/>
                <w:u w:val="single"/>
              </w:rPr>
            </w:pPr>
            <w:r w:rsidRPr="009D0E5A">
              <w:rPr>
                <w:rFonts w:cs="Calibri"/>
                <w:color w:val="E36C0A" w:themeColor="accent6" w:themeShade="BF"/>
                <w:u w:val="single"/>
              </w:rPr>
              <w:t>Checks for outstanding claims</w:t>
            </w:r>
            <w:r w:rsidR="00DE7212" w:rsidRPr="009D0E5A">
              <w:rPr>
                <w:rFonts w:cs="Calibri"/>
                <w:color w:val="E36C0A" w:themeColor="accent6" w:themeShade="BF"/>
              </w:rPr>
              <w:t xml:space="preserve"> </w:t>
            </w:r>
            <w:r w:rsidR="00DE7212" w:rsidRPr="009D0E5A">
              <w:rPr>
                <w:rFonts w:cs="Calibri"/>
                <w:i/>
                <w:sz w:val="16"/>
                <w:szCs w:val="16"/>
              </w:rPr>
              <w:t>(</w:t>
            </w:r>
            <w:proofErr w:type="spellStart"/>
            <w:r w:rsidR="00DE7212" w:rsidRPr="009D0E5A">
              <w:rPr>
                <w:rFonts w:cs="Calibri"/>
                <w:i/>
                <w:sz w:val="16"/>
                <w:szCs w:val="16"/>
              </w:rPr>
              <w:t>wef</w:t>
            </w:r>
            <w:proofErr w:type="spellEnd"/>
            <w:r w:rsidR="00DE7212" w:rsidRPr="009D0E5A">
              <w:rPr>
                <w:rFonts w:cs="Calibri"/>
                <w:i/>
                <w:sz w:val="16"/>
                <w:szCs w:val="16"/>
              </w:rPr>
              <w:t xml:space="preserve"> 1 Jul 14)</w:t>
            </w:r>
          </w:p>
          <w:p w14:paraId="48444CEC" w14:textId="77777777" w:rsidR="00D6564A" w:rsidRPr="009D0E5A" w:rsidRDefault="00D6564A" w:rsidP="00D6564A">
            <w:pPr>
              <w:spacing w:after="0" w:line="240" w:lineRule="auto"/>
              <w:rPr>
                <w:rFonts w:cs="Calibri"/>
                <w:color w:val="E36C0A" w:themeColor="accent6" w:themeShade="BF"/>
                <w:u w:val="single"/>
              </w:rPr>
            </w:pPr>
            <w:r w:rsidRPr="009D0E5A">
              <w:rPr>
                <w:rFonts w:cs="Calibri"/>
              </w:rPr>
              <w:t>The EA makes effort to check that the applicant has no outstanding salary or work injury claims before sending him/her home.</w:t>
            </w:r>
          </w:p>
        </w:tc>
        <w:tc>
          <w:tcPr>
            <w:tcW w:w="850" w:type="dxa"/>
          </w:tcPr>
          <w:p w14:paraId="48444CED" w14:textId="77777777" w:rsidR="00D6564A" w:rsidRPr="00B538FF" w:rsidRDefault="00D6564A" w:rsidP="00782F21">
            <w:pPr>
              <w:spacing w:after="0" w:line="264" w:lineRule="auto"/>
              <w:jc w:val="center"/>
              <w:rPr>
                <w:rFonts w:cs="Calibri"/>
                <w:highlight w:val="yellow"/>
              </w:rPr>
            </w:pPr>
          </w:p>
        </w:tc>
        <w:tc>
          <w:tcPr>
            <w:tcW w:w="850" w:type="dxa"/>
          </w:tcPr>
          <w:p w14:paraId="48444CEE" w14:textId="77777777" w:rsidR="00D6564A" w:rsidRPr="00B538FF" w:rsidRDefault="00D6564A" w:rsidP="00782F21">
            <w:pPr>
              <w:spacing w:after="0" w:line="264" w:lineRule="auto"/>
              <w:jc w:val="center"/>
              <w:rPr>
                <w:rFonts w:cs="Calibri"/>
                <w:highlight w:val="yellow"/>
              </w:rPr>
            </w:pPr>
          </w:p>
        </w:tc>
      </w:tr>
      <w:tr w:rsidR="007E4CAF" w:rsidRPr="00B538FF" w14:paraId="27BB2E4C" w14:textId="77777777" w:rsidTr="00782F21">
        <w:tc>
          <w:tcPr>
            <w:tcW w:w="534" w:type="dxa"/>
          </w:tcPr>
          <w:p w14:paraId="3F17E4CE" w14:textId="6562F5E5" w:rsidR="007E4CAF" w:rsidRPr="009D0E5A" w:rsidRDefault="002D0BC4" w:rsidP="00782F21">
            <w:pPr>
              <w:spacing w:after="0" w:line="264" w:lineRule="auto"/>
              <w:ind w:left="-142" w:right="-108"/>
              <w:jc w:val="center"/>
              <w:rPr>
                <w:rFonts w:cs="Calibri"/>
              </w:rPr>
            </w:pPr>
            <w:r w:rsidRPr="009D0E5A">
              <w:rPr>
                <w:rFonts w:cs="Calibri"/>
              </w:rPr>
              <w:t>20</w:t>
            </w:r>
          </w:p>
        </w:tc>
        <w:tc>
          <w:tcPr>
            <w:tcW w:w="8505" w:type="dxa"/>
          </w:tcPr>
          <w:p w14:paraId="196A3E7B" w14:textId="0EB65504" w:rsidR="007E4CAF" w:rsidRPr="009D0E5A" w:rsidRDefault="00F74C4E" w:rsidP="007E4CAF">
            <w:pPr>
              <w:spacing w:after="0" w:line="240" w:lineRule="auto"/>
              <w:rPr>
                <w:rFonts w:cs="Calibri"/>
                <w:color w:val="E36C0A" w:themeColor="accent6" w:themeShade="BF"/>
                <w:sz w:val="20"/>
                <w:szCs w:val="20"/>
                <w:u w:val="single"/>
              </w:rPr>
            </w:pPr>
            <w:r w:rsidRPr="009D0E5A">
              <w:rPr>
                <w:rFonts w:cs="Calibri"/>
                <w:color w:val="E36C0A" w:themeColor="accent6" w:themeShade="BF"/>
                <w:u w:val="single"/>
              </w:rPr>
              <w:t>Repatriation of</w:t>
            </w:r>
            <w:r w:rsidRPr="009D0E5A">
              <w:rPr>
                <w:rFonts w:cs="Calibri"/>
                <w:color w:val="E36C0A" w:themeColor="accent6" w:themeShade="BF"/>
                <w:sz w:val="20"/>
                <w:szCs w:val="20"/>
                <w:u w:val="single"/>
              </w:rPr>
              <w:t xml:space="preserve"> </w:t>
            </w:r>
            <w:r w:rsidR="00F7460C" w:rsidRPr="009D0E5A">
              <w:rPr>
                <w:rFonts w:cs="Calibri"/>
                <w:color w:val="E36C0A" w:themeColor="accent6" w:themeShade="BF"/>
                <w:u w:val="single"/>
              </w:rPr>
              <w:t>Foreign Applicants for Employment</w:t>
            </w:r>
            <w:r w:rsidR="00374349">
              <w:rPr>
                <w:rFonts w:cs="Calibri"/>
                <w:color w:val="E36C0A" w:themeColor="accent6" w:themeShade="BF"/>
                <w:u w:val="single"/>
              </w:rPr>
              <w:t xml:space="preserve"> who failed to meet Prevailing Entry Requirement </w:t>
            </w:r>
            <w:r w:rsidR="007E4CAF" w:rsidRPr="009D0E5A">
              <w:rPr>
                <w:rFonts w:cs="Calibri"/>
                <w:i/>
                <w:sz w:val="16"/>
                <w:szCs w:val="16"/>
              </w:rPr>
              <w:t>(</w:t>
            </w:r>
            <w:proofErr w:type="spellStart"/>
            <w:r w:rsidR="007E4CAF" w:rsidRPr="009D0E5A">
              <w:rPr>
                <w:rFonts w:cs="Calibri"/>
                <w:i/>
                <w:sz w:val="16"/>
                <w:szCs w:val="16"/>
              </w:rPr>
              <w:t>wef</w:t>
            </w:r>
            <w:proofErr w:type="spellEnd"/>
            <w:r w:rsidR="007E4CAF" w:rsidRPr="009D0E5A">
              <w:rPr>
                <w:rFonts w:cs="Calibri"/>
                <w:i/>
                <w:sz w:val="16"/>
                <w:szCs w:val="16"/>
              </w:rPr>
              <w:t xml:space="preserve"> 1 Dec 16)</w:t>
            </w:r>
          </w:p>
          <w:p w14:paraId="12B18509" w14:textId="162FDE2C" w:rsidR="00374349" w:rsidRPr="00374349" w:rsidRDefault="00374349" w:rsidP="00374349">
            <w:pPr>
              <w:spacing w:after="0" w:line="240" w:lineRule="auto"/>
              <w:rPr>
                <w:rFonts w:cs="Calibri"/>
                <w:szCs w:val="20"/>
              </w:rPr>
            </w:pPr>
            <w:r>
              <w:rPr>
                <w:rFonts w:cs="Calibri"/>
                <w:szCs w:val="20"/>
              </w:rPr>
              <w:t>The EA is to repatriate the F</w:t>
            </w:r>
            <w:r w:rsidR="007E4CAF" w:rsidRPr="0083198A">
              <w:rPr>
                <w:rFonts w:cs="Calibri"/>
                <w:szCs w:val="20"/>
              </w:rPr>
              <w:t xml:space="preserve">W to an international port of entry within </w:t>
            </w:r>
            <w:r>
              <w:rPr>
                <w:rFonts w:cs="Calibri"/>
                <w:szCs w:val="20"/>
              </w:rPr>
              <w:t>the F</w:t>
            </w:r>
            <w:r w:rsidR="007E4CAF" w:rsidRPr="0083198A">
              <w:rPr>
                <w:rFonts w:cs="Calibri"/>
                <w:szCs w:val="20"/>
              </w:rPr>
              <w:t>W’s home country to allow reasonable access to the FW’s hometown. A different destination is permissible if it is mutually agreed between the FW and the employer, or if the Controller of Work Passes so determines.</w:t>
            </w:r>
          </w:p>
        </w:tc>
        <w:tc>
          <w:tcPr>
            <w:tcW w:w="850" w:type="dxa"/>
          </w:tcPr>
          <w:p w14:paraId="3F4967B6" w14:textId="77777777" w:rsidR="007E4CAF" w:rsidRPr="00B538FF" w:rsidRDefault="007E4CAF" w:rsidP="00782F21">
            <w:pPr>
              <w:spacing w:after="0" w:line="264" w:lineRule="auto"/>
              <w:jc w:val="center"/>
              <w:rPr>
                <w:rFonts w:cs="Calibri"/>
                <w:highlight w:val="yellow"/>
              </w:rPr>
            </w:pPr>
          </w:p>
        </w:tc>
        <w:tc>
          <w:tcPr>
            <w:tcW w:w="850" w:type="dxa"/>
          </w:tcPr>
          <w:p w14:paraId="7E1C88DB" w14:textId="77777777" w:rsidR="007E4CAF" w:rsidRPr="00B538FF" w:rsidRDefault="007E4CAF" w:rsidP="00782F21">
            <w:pPr>
              <w:spacing w:after="0" w:line="264" w:lineRule="auto"/>
              <w:jc w:val="center"/>
              <w:rPr>
                <w:rFonts w:cs="Calibri"/>
                <w:highlight w:val="yellow"/>
              </w:rPr>
            </w:pPr>
          </w:p>
        </w:tc>
      </w:tr>
      <w:tr w:rsidR="00A9778D" w:rsidRPr="00B538FF" w14:paraId="05C78BC0" w14:textId="77777777" w:rsidTr="00A9778D">
        <w:tc>
          <w:tcPr>
            <w:tcW w:w="9039" w:type="dxa"/>
            <w:gridSpan w:val="2"/>
            <w:shd w:val="clear" w:color="auto" w:fill="4F81BD" w:themeFill="accent1"/>
          </w:tcPr>
          <w:p w14:paraId="34989C3C" w14:textId="54A1A976" w:rsidR="00A9778D" w:rsidRPr="009D0E5A" w:rsidRDefault="00A9778D" w:rsidP="00D6564A">
            <w:pPr>
              <w:spacing w:after="0" w:line="240" w:lineRule="auto"/>
              <w:rPr>
                <w:rFonts w:cs="Calibri"/>
                <w:b/>
                <w:color w:val="000000" w:themeColor="text1"/>
                <w:u w:val="single"/>
              </w:rPr>
            </w:pPr>
            <w:r w:rsidRPr="009D0E5A">
              <w:rPr>
                <w:b/>
                <w:color w:val="000000" w:themeColor="text1"/>
              </w:rPr>
              <w:t>EAs which place out FDWs must also adhere to the following regulations:</w:t>
            </w:r>
          </w:p>
        </w:tc>
        <w:tc>
          <w:tcPr>
            <w:tcW w:w="850" w:type="dxa"/>
            <w:shd w:val="clear" w:color="auto" w:fill="4F81BD" w:themeFill="accent1"/>
          </w:tcPr>
          <w:p w14:paraId="5DAE679C" w14:textId="77777777" w:rsidR="00A9778D" w:rsidRPr="00B538FF" w:rsidRDefault="00A9778D" w:rsidP="00782F21">
            <w:pPr>
              <w:spacing w:after="0" w:line="264" w:lineRule="auto"/>
              <w:jc w:val="center"/>
              <w:rPr>
                <w:rFonts w:cs="Calibri"/>
                <w:highlight w:val="yellow"/>
              </w:rPr>
            </w:pPr>
          </w:p>
        </w:tc>
        <w:tc>
          <w:tcPr>
            <w:tcW w:w="850" w:type="dxa"/>
            <w:shd w:val="clear" w:color="auto" w:fill="4F81BD" w:themeFill="accent1"/>
          </w:tcPr>
          <w:p w14:paraId="06C9C642" w14:textId="77777777" w:rsidR="00A9778D" w:rsidRPr="00B538FF" w:rsidRDefault="00A9778D" w:rsidP="00782F21">
            <w:pPr>
              <w:spacing w:after="0" w:line="264" w:lineRule="auto"/>
              <w:jc w:val="center"/>
              <w:rPr>
                <w:rFonts w:cs="Calibri"/>
                <w:highlight w:val="yellow"/>
              </w:rPr>
            </w:pPr>
          </w:p>
        </w:tc>
      </w:tr>
      <w:tr w:rsidR="00D70004" w:rsidRPr="00A81B05" w14:paraId="23305628" w14:textId="77777777" w:rsidTr="00782F21">
        <w:tc>
          <w:tcPr>
            <w:tcW w:w="534" w:type="dxa"/>
          </w:tcPr>
          <w:p w14:paraId="7594D671" w14:textId="747BAB26" w:rsidR="00D70004" w:rsidRPr="009D0E5A" w:rsidRDefault="00D70004" w:rsidP="00D70004">
            <w:pPr>
              <w:spacing w:after="0" w:line="264" w:lineRule="auto"/>
              <w:jc w:val="center"/>
              <w:rPr>
                <w:rFonts w:cs="Calibri"/>
              </w:rPr>
            </w:pPr>
            <w:r w:rsidRPr="009D0E5A">
              <w:rPr>
                <w:rFonts w:cs="Calibri"/>
              </w:rPr>
              <w:t>2</w:t>
            </w:r>
            <w:r w:rsidR="002D0BC4" w:rsidRPr="009D0E5A">
              <w:rPr>
                <w:rFonts w:cs="Calibri"/>
              </w:rPr>
              <w:t>1</w:t>
            </w:r>
          </w:p>
        </w:tc>
        <w:tc>
          <w:tcPr>
            <w:tcW w:w="8505" w:type="dxa"/>
          </w:tcPr>
          <w:p w14:paraId="6734BD50" w14:textId="0E51B41C" w:rsidR="00D70004" w:rsidRPr="009D0E5A" w:rsidRDefault="00D70004" w:rsidP="00D70004">
            <w:pPr>
              <w:spacing w:after="0" w:line="240" w:lineRule="auto"/>
              <w:rPr>
                <w:rFonts w:cs="Calibri"/>
                <w:color w:val="E36C0A" w:themeColor="accent6" w:themeShade="BF"/>
                <w:u w:val="single"/>
              </w:rPr>
            </w:pPr>
            <w:r w:rsidRPr="009D0E5A">
              <w:rPr>
                <w:rFonts w:cs="Calibri"/>
                <w:color w:val="E36C0A" w:themeColor="accent6" w:themeShade="BF"/>
                <w:u w:val="single"/>
              </w:rPr>
              <w:t xml:space="preserve">Prevailing Entry Requirement of </w:t>
            </w:r>
            <w:r w:rsidR="002D0BC4" w:rsidRPr="009D0E5A">
              <w:rPr>
                <w:rFonts w:cs="Calibri"/>
                <w:color w:val="E36C0A" w:themeColor="accent6" w:themeShade="BF"/>
                <w:u w:val="single"/>
              </w:rPr>
              <w:t xml:space="preserve">FDWs </w:t>
            </w:r>
            <w:r w:rsidR="002D0BC4" w:rsidRPr="009D0E5A">
              <w:rPr>
                <w:rFonts w:cs="Calibri"/>
                <w:i/>
                <w:sz w:val="16"/>
                <w:szCs w:val="16"/>
              </w:rPr>
              <w:t>(</w:t>
            </w:r>
            <w:proofErr w:type="spellStart"/>
            <w:r w:rsidR="002D0BC4" w:rsidRPr="009D0E5A">
              <w:rPr>
                <w:rFonts w:cs="Calibri"/>
                <w:i/>
                <w:sz w:val="16"/>
                <w:szCs w:val="16"/>
              </w:rPr>
              <w:t>wef</w:t>
            </w:r>
            <w:proofErr w:type="spellEnd"/>
            <w:r w:rsidR="002D0BC4" w:rsidRPr="009D0E5A">
              <w:rPr>
                <w:rFonts w:cs="Calibri"/>
                <w:i/>
                <w:sz w:val="16"/>
                <w:szCs w:val="16"/>
              </w:rPr>
              <w:t xml:space="preserve"> 1 Sep 18)</w:t>
            </w:r>
          </w:p>
          <w:p w14:paraId="34AF6C26" w14:textId="444C22E6" w:rsidR="00D70004" w:rsidRPr="009D0E5A" w:rsidRDefault="00D70004" w:rsidP="00D70004">
            <w:pPr>
              <w:spacing w:after="0" w:line="240" w:lineRule="auto"/>
              <w:rPr>
                <w:rFonts w:cs="Calibri"/>
              </w:rPr>
            </w:pPr>
            <w:r w:rsidRPr="009D0E5A">
              <w:rPr>
                <w:rFonts w:cs="Calibri"/>
              </w:rPr>
              <w:t>The standard of verification checks of FDWs shall minimally</w:t>
            </w:r>
            <w:r w:rsidR="002D0BC4" w:rsidRPr="009D0E5A">
              <w:rPr>
                <w:rFonts w:cs="Calibri"/>
              </w:rPr>
              <w:t xml:space="preserve"> be</w:t>
            </w:r>
            <w:r w:rsidRPr="009D0E5A">
              <w:rPr>
                <w:rFonts w:cs="Calibri"/>
              </w:rPr>
              <w:t xml:space="preserve"> in line with the following: </w:t>
            </w:r>
          </w:p>
          <w:p w14:paraId="741F6C66" w14:textId="77777777" w:rsidR="00D70004" w:rsidRPr="009D0E5A" w:rsidRDefault="00D70004" w:rsidP="00D70004">
            <w:pPr>
              <w:pStyle w:val="ListParagraph"/>
              <w:numPr>
                <w:ilvl w:val="0"/>
                <w:numId w:val="4"/>
              </w:numPr>
              <w:spacing w:after="0" w:line="240" w:lineRule="auto"/>
              <w:rPr>
                <w:rFonts w:cs="Calibri"/>
              </w:rPr>
            </w:pPr>
            <w:r w:rsidRPr="009D0E5A">
              <w:rPr>
                <w:rFonts w:cs="Calibri"/>
              </w:rPr>
              <w:t>Examining the FDW’s original official documents (e.g. passport, educational certificate, household listing, national identity card)</w:t>
            </w:r>
          </w:p>
          <w:p w14:paraId="22E5894F" w14:textId="0DFCC839" w:rsidR="00D70004" w:rsidRPr="009D0E5A" w:rsidRDefault="00D70004" w:rsidP="00D70004">
            <w:pPr>
              <w:pStyle w:val="ListParagraph"/>
              <w:numPr>
                <w:ilvl w:val="0"/>
                <w:numId w:val="4"/>
              </w:numPr>
              <w:spacing w:after="0" w:line="240" w:lineRule="auto"/>
              <w:rPr>
                <w:rFonts w:cs="Calibri"/>
              </w:rPr>
            </w:pPr>
            <w:r w:rsidRPr="009D0E5A">
              <w:rPr>
                <w:rFonts w:cs="Calibri"/>
              </w:rPr>
              <w:lastRenderedPageBreak/>
              <w:t>Conducting interview</w:t>
            </w:r>
            <w:r w:rsidR="0083198A">
              <w:rPr>
                <w:rFonts w:cs="Calibri"/>
              </w:rPr>
              <w:t xml:space="preserve"> after FDW arrives in Singapore</w:t>
            </w:r>
            <w:r w:rsidRPr="009D0E5A">
              <w:rPr>
                <w:rFonts w:cs="Calibri"/>
              </w:rPr>
              <w:t xml:space="preserve"> to gather information on the FDW’s family history, education history, work experience, to ascertain if her declared age is consistent</w:t>
            </w:r>
          </w:p>
          <w:p w14:paraId="65A56456" w14:textId="4A540CDD" w:rsidR="0083198A" w:rsidRPr="00374349" w:rsidRDefault="00D70004" w:rsidP="00702D90">
            <w:pPr>
              <w:pStyle w:val="ListParagraph"/>
              <w:numPr>
                <w:ilvl w:val="0"/>
                <w:numId w:val="4"/>
              </w:numPr>
              <w:spacing w:after="0" w:line="240" w:lineRule="auto"/>
              <w:rPr>
                <w:rFonts w:cs="Calibri"/>
                <w:color w:val="E36C0A" w:themeColor="accent6" w:themeShade="BF"/>
                <w:u w:val="single"/>
              </w:rPr>
            </w:pPr>
            <w:r w:rsidRPr="00374349">
              <w:rPr>
                <w:rFonts w:cs="Calibri"/>
              </w:rPr>
              <w:t xml:space="preserve">Assessing FDW’s </w:t>
            </w:r>
            <w:r w:rsidR="009D0E5A" w:rsidRPr="00374349">
              <w:rPr>
                <w:rFonts w:cs="Calibri"/>
              </w:rPr>
              <w:t>physical appearance, mannerisms</w:t>
            </w:r>
            <w:r w:rsidRPr="00374349">
              <w:rPr>
                <w:rFonts w:cs="Calibri"/>
              </w:rPr>
              <w:t>, and speech</w:t>
            </w:r>
            <w:r w:rsidRPr="00374349">
              <w:rPr>
                <w:rFonts w:cs="Calibri"/>
                <w:u w:val="single"/>
              </w:rPr>
              <w:t xml:space="preserve"> </w:t>
            </w:r>
          </w:p>
          <w:p w14:paraId="69F3B6A8" w14:textId="241C1D86" w:rsidR="009C0142" w:rsidRPr="0083198A" w:rsidRDefault="009C0142" w:rsidP="0083198A">
            <w:pPr>
              <w:spacing w:after="0" w:line="240" w:lineRule="auto"/>
              <w:rPr>
                <w:rFonts w:cs="Calibri"/>
                <w:color w:val="E36C0A" w:themeColor="accent6" w:themeShade="BF"/>
                <w:u w:val="single"/>
              </w:rPr>
            </w:pPr>
          </w:p>
        </w:tc>
        <w:tc>
          <w:tcPr>
            <w:tcW w:w="850" w:type="dxa"/>
          </w:tcPr>
          <w:p w14:paraId="45B3282B" w14:textId="77777777" w:rsidR="00D70004" w:rsidRPr="00A81B05" w:rsidRDefault="00D70004" w:rsidP="00782F21">
            <w:pPr>
              <w:spacing w:after="0" w:line="264" w:lineRule="auto"/>
              <w:jc w:val="center"/>
              <w:rPr>
                <w:rFonts w:cs="Calibri"/>
              </w:rPr>
            </w:pPr>
          </w:p>
        </w:tc>
        <w:tc>
          <w:tcPr>
            <w:tcW w:w="850" w:type="dxa"/>
          </w:tcPr>
          <w:p w14:paraId="0518CAFF" w14:textId="77777777" w:rsidR="00D70004" w:rsidRPr="00A81B05" w:rsidRDefault="00D70004" w:rsidP="00782F21">
            <w:pPr>
              <w:spacing w:after="0" w:line="264" w:lineRule="auto"/>
              <w:jc w:val="center"/>
              <w:rPr>
                <w:rFonts w:cs="Calibri"/>
              </w:rPr>
            </w:pPr>
          </w:p>
        </w:tc>
      </w:tr>
      <w:tr w:rsidR="0077346E" w:rsidRPr="00A81B05" w14:paraId="48444CF5" w14:textId="77777777" w:rsidTr="00782F21">
        <w:tc>
          <w:tcPr>
            <w:tcW w:w="534" w:type="dxa"/>
          </w:tcPr>
          <w:p w14:paraId="48444CF0" w14:textId="7E08C02E" w:rsidR="0077346E" w:rsidRPr="009D0E5A" w:rsidRDefault="002D0BC4" w:rsidP="00782F21">
            <w:pPr>
              <w:spacing w:after="0" w:line="264" w:lineRule="auto"/>
              <w:jc w:val="center"/>
              <w:rPr>
                <w:rFonts w:cs="Calibri"/>
              </w:rPr>
            </w:pPr>
            <w:r w:rsidRPr="009D0E5A">
              <w:rPr>
                <w:rFonts w:cs="Calibri"/>
              </w:rPr>
              <w:t>22</w:t>
            </w:r>
          </w:p>
        </w:tc>
        <w:tc>
          <w:tcPr>
            <w:tcW w:w="8505" w:type="dxa"/>
          </w:tcPr>
          <w:p w14:paraId="48444CF1" w14:textId="105326D7" w:rsidR="0077346E" w:rsidRPr="009D0E5A" w:rsidRDefault="0077346E" w:rsidP="00782F21">
            <w:pPr>
              <w:spacing w:after="0" w:line="240" w:lineRule="auto"/>
              <w:rPr>
                <w:rFonts w:cs="Calibri"/>
                <w:color w:val="E36C0A" w:themeColor="accent6" w:themeShade="BF"/>
                <w:u w:val="single"/>
              </w:rPr>
            </w:pPr>
            <w:r w:rsidRPr="009D0E5A">
              <w:rPr>
                <w:rFonts w:cs="Calibri"/>
                <w:color w:val="E36C0A" w:themeColor="accent6" w:themeShade="BF"/>
                <w:u w:val="single"/>
              </w:rPr>
              <w:t>FDWs Outside EA Premises</w:t>
            </w:r>
            <w:r w:rsidR="00DE7212" w:rsidRPr="009D0E5A">
              <w:rPr>
                <w:rFonts w:cs="Calibri"/>
                <w:i/>
                <w:sz w:val="16"/>
                <w:szCs w:val="16"/>
              </w:rPr>
              <w:t xml:space="preserve"> (</w:t>
            </w:r>
            <w:proofErr w:type="spellStart"/>
            <w:r w:rsidR="00DE7212" w:rsidRPr="009D0E5A">
              <w:rPr>
                <w:rFonts w:cs="Calibri"/>
                <w:i/>
                <w:sz w:val="16"/>
                <w:szCs w:val="16"/>
              </w:rPr>
              <w:t>wef</w:t>
            </w:r>
            <w:proofErr w:type="spellEnd"/>
            <w:r w:rsidR="00DE7212" w:rsidRPr="009D0E5A">
              <w:rPr>
                <w:rFonts w:cs="Calibri"/>
                <w:i/>
                <w:sz w:val="16"/>
                <w:szCs w:val="16"/>
              </w:rPr>
              <w:t xml:space="preserve"> 16 Jul 14)</w:t>
            </w:r>
          </w:p>
          <w:p w14:paraId="48444CF2" w14:textId="66A969D9" w:rsidR="000B097C" w:rsidRPr="009D0E5A" w:rsidRDefault="003300DA" w:rsidP="008E2FDB">
            <w:pPr>
              <w:spacing w:after="0" w:line="240" w:lineRule="auto"/>
              <w:rPr>
                <w:rFonts w:cs="Calibri"/>
              </w:rPr>
            </w:pPr>
            <w:r w:rsidRPr="009D0E5A">
              <w:rPr>
                <w:rFonts w:cs="Calibri"/>
              </w:rPr>
              <w:t>The EA</w:t>
            </w:r>
            <w:r w:rsidR="0097463E" w:rsidRPr="009D0E5A">
              <w:rPr>
                <w:rFonts w:cs="Calibri"/>
              </w:rPr>
              <w:t xml:space="preserve"> must exercise duty of care to ensure that FDWs are comfortable while within the EA’s premises. FDWs should not be allowed to sit outside the EA’s premises under any circumstances.</w:t>
            </w:r>
          </w:p>
        </w:tc>
        <w:tc>
          <w:tcPr>
            <w:tcW w:w="850" w:type="dxa"/>
          </w:tcPr>
          <w:p w14:paraId="48444CF3" w14:textId="77777777" w:rsidR="0077346E" w:rsidRPr="00A81B05" w:rsidRDefault="0077346E" w:rsidP="00782F21">
            <w:pPr>
              <w:spacing w:after="0" w:line="264" w:lineRule="auto"/>
              <w:jc w:val="center"/>
              <w:rPr>
                <w:rFonts w:cs="Calibri"/>
              </w:rPr>
            </w:pPr>
          </w:p>
        </w:tc>
        <w:tc>
          <w:tcPr>
            <w:tcW w:w="850" w:type="dxa"/>
          </w:tcPr>
          <w:p w14:paraId="48444CF4" w14:textId="77777777" w:rsidR="0077346E" w:rsidRPr="00A81B05" w:rsidRDefault="0077346E" w:rsidP="00782F21">
            <w:pPr>
              <w:spacing w:after="0" w:line="264" w:lineRule="auto"/>
              <w:jc w:val="center"/>
              <w:rPr>
                <w:rFonts w:cs="Calibri"/>
              </w:rPr>
            </w:pPr>
          </w:p>
        </w:tc>
      </w:tr>
      <w:tr w:rsidR="003300DA" w:rsidRPr="00A81B05" w14:paraId="48444CFB" w14:textId="77777777" w:rsidTr="00782F21">
        <w:tc>
          <w:tcPr>
            <w:tcW w:w="534" w:type="dxa"/>
          </w:tcPr>
          <w:p w14:paraId="48444CF6" w14:textId="6A1417D1" w:rsidR="003300DA" w:rsidRPr="009D0E5A" w:rsidRDefault="002D0BC4">
            <w:pPr>
              <w:spacing w:after="0" w:line="264" w:lineRule="auto"/>
              <w:ind w:left="-142" w:right="-108"/>
              <w:jc w:val="center"/>
              <w:rPr>
                <w:rFonts w:cs="Calibri"/>
              </w:rPr>
            </w:pPr>
            <w:r w:rsidRPr="009D0E5A">
              <w:rPr>
                <w:rFonts w:cs="Calibri"/>
              </w:rPr>
              <w:t>23</w:t>
            </w:r>
          </w:p>
        </w:tc>
        <w:tc>
          <w:tcPr>
            <w:tcW w:w="8505" w:type="dxa"/>
          </w:tcPr>
          <w:p w14:paraId="48444CF7" w14:textId="33656F18" w:rsidR="003300DA" w:rsidRPr="009D0E5A" w:rsidRDefault="003300DA" w:rsidP="003300DA">
            <w:pPr>
              <w:spacing w:after="0" w:line="240" w:lineRule="auto"/>
              <w:contextualSpacing/>
              <w:rPr>
                <w:rFonts w:cs="Calibri"/>
                <w:color w:val="E36C0A" w:themeColor="accent6" w:themeShade="BF"/>
                <w:u w:val="single"/>
              </w:rPr>
            </w:pPr>
            <w:r w:rsidRPr="009D0E5A">
              <w:rPr>
                <w:rFonts w:cs="Calibri"/>
                <w:color w:val="E36C0A" w:themeColor="accent6" w:themeShade="BF"/>
                <w:u w:val="single"/>
              </w:rPr>
              <w:t>Insensitive Advertising by EAs</w:t>
            </w:r>
            <w:r w:rsidR="00DE7212" w:rsidRPr="009D0E5A">
              <w:rPr>
                <w:rFonts w:cs="Calibri"/>
                <w:color w:val="E36C0A" w:themeColor="accent6" w:themeShade="BF"/>
              </w:rPr>
              <w:t xml:space="preserve"> </w:t>
            </w:r>
            <w:r w:rsidR="00DE7212" w:rsidRPr="009D0E5A">
              <w:rPr>
                <w:rFonts w:cs="Calibri"/>
                <w:i/>
                <w:sz w:val="16"/>
                <w:szCs w:val="16"/>
              </w:rPr>
              <w:t>(</w:t>
            </w:r>
            <w:proofErr w:type="spellStart"/>
            <w:r w:rsidR="00DE7212" w:rsidRPr="009D0E5A">
              <w:rPr>
                <w:rFonts w:cs="Calibri"/>
                <w:i/>
                <w:sz w:val="16"/>
                <w:szCs w:val="16"/>
              </w:rPr>
              <w:t>wef</w:t>
            </w:r>
            <w:proofErr w:type="spellEnd"/>
            <w:r w:rsidR="00DE7212" w:rsidRPr="009D0E5A">
              <w:rPr>
                <w:rFonts w:cs="Calibri"/>
                <w:i/>
                <w:sz w:val="16"/>
                <w:szCs w:val="16"/>
              </w:rPr>
              <w:t xml:space="preserve"> 16 Jul 14)</w:t>
            </w:r>
          </w:p>
          <w:p w14:paraId="48444CF8" w14:textId="7EFE9137" w:rsidR="003300DA" w:rsidRPr="009D0E5A" w:rsidRDefault="003300DA" w:rsidP="003300DA">
            <w:pPr>
              <w:spacing w:before="100" w:beforeAutospacing="1" w:after="100" w:afterAutospacing="1" w:line="240" w:lineRule="auto"/>
              <w:contextualSpacing/>
              <w:rPr>
                <w:rFonts w:cs="Calibri"/>
                <w:color w:val="E36C0A" w:themeColor="accent6" w:themeShade="BF"/>
                <w:u w:val="single"/>
              </w:rPr>
            </w:pPr>
            <w:r w:rsidRPr="009D0E5A">
              <w:t>The EA should refrain from all forms of public advertising (</w:t>
            </w:r>
            <w:r w:rsidR="007831B0" w:rsidRPr="009D0E5A">
              <w:t>e.g.</w:t>
            </w:r>
            <w:r w:rsidRPr="009D0E5A">
              <w:t xml:space="preserve"> on shop fronts and websites) that casts FDWs in an undignified light. EA’s advertisements should not make any mention of fees or liken FDWs to merchandise that can be purchased and replaced when found unsatisfactory.</w:t>
            </w:r>
          </w:p>
        </w:tc>
        <w:tc>
          <w:tcPr>
            <w:tcW w:w="850" w:type="dxa"/>
          </w:tcPr>
          <w:p w14:paraId="48444CF9" w14:textId="77777777" w:rsidR="003300DA" w:rsidRPr="00A81B05" w:rsidRDefault="003300DA" w:rsidP="00782F21">
            <w:pPr>
              <w:spacing w:after="0" w:line="264" w:lineRule="auto"/>
              <w:jc w:val="center"/>
              <w:rPr>
                <w:rFonts w:cs="Calibri"/>
              </w:rPr>
            </w:pPr>
          </w:p>
        </w:tc>
        <w:tc>
          <w:tcPr>
            <w:tcW w:w="850" w:type="dxa"/>
          </w:tcPr>
          <w:p w14:paraId="48444CFA" w14:textId="77777777" w:rsidR="003300DA" w:rsidRPr="00A81B05" w:rsidRDefault="003300DA" w:rsidP="00782F21">
            <w:pPr>
              <w:spacing w:after="0" w:line="264" w:lineRule="auto"/>
              <w:jc w:val="center"/>
              <w:rPr>
                <w:rFonts w:cs="Calibri"/>
              </w:rPr>
            </w:pPr>
          </w:p>
        </w:tc>
      </w:tr>
      <w:tr w:rsidR="00D35959" w:rsidRPr="00A81B05" w14:paraId="48444D02" w14:textId="77777777" w:rsidTr="00782F21">
        <w:tc>
          <w:tcPr>
            <w:tcW w:w="534" w:type="dxa"/>
          </w:tcPr>
          <w:p w14:paraId="48444CFC" w14:textId="071C8C35" w:rsidR="000958B5" w:rsidRPr="009D0E5A" w:rsidRDefault="002D0BC4">
            <w:pPr>
              <w:spacing w:after="0" w:line="264" w:lineRule="auto"/>
              <w:ind w:left="-142" w:right="-108"/>
              <w:jc w:val="center"/>
              <w:rPr>
                <w:rFonts w:ascii="Tahoma" w:hAnsi="Tahoma" w:cs="Calibri"/>
              </w:rPr>
            </w:pPr>
            <w:r w:rsidRPr="009D0E5A">
              <w:rPr>
                <w:rFonts w:cs="Calibri"/>
              </w:rPr>
              <w:t>24</w:t>
            </w:r>
          </w:p>
        </w:tc>
        <w:tc>
          <w:tcPr>
            <w:tcW w:w="8505" w:type="dxa"/>
          </w:tcPr>
          <w:p w14:paraId="48444CFD" w14:textId="0F5EEFB0" w:rsidR="00D35959" w:rsidRPr="009D0E5A" w:rsidRDefault="00D35959" w:rsidP="00782F21">
            <w:pPr>
              <w:spacing w:after="0" w:line="240" w:lineRule="auto"/>
              <w:rPr>
                <w:rFonts w:cs="Calibri"/>
                <w:u w:val="single"/>
              </w:rPr>
            </w:pPr>
            <w:r w:rsidRPr="009D0E5A">
              <w:rPr>
                <w:rFonts w:cs="Calibri"/>
                <w:color w:val="E36C0A" w:themeColor="accent6" w:themeShade="BF"/>
                <w:u w:val="single"/>
              </w:rPr>
              <w:t>Safety Agreement</w:t>
            </w:r>
            <w:r w:rsidR="00DE7212" w:rsidRPr="009D0E5A">
              <w:rPr>
                <w:rFonts w:cs="Calibri"/>
                <w:color w:val="E36C0A" w:themeColor="accent6" w:themeShade="BF"/>
              </w:rPr>
              <w:t xml:space="preserve"> </w:t>
            </w:r>
            <w:r w:rsidR="00DE7212" w:rsidRPr="009D0E5A">
              <w:rPr>
                <w:rFonts w:cs="Calibri"/>
                <w:i/>
                <w:sz w:val="16"/>
                <w:szCs w:val="16"/>
              </w:rPr>
              <w:t>(</w:t>
            </w:r>
            <w:proofErr w:type="spellStart"/>
            <w:r w:rsidR="00DE7212" w:rsidRPr="009D0E5A">
              <w:rPr>
                <w:rFonts w:cs="Calibri"/>
                <w:i/>
                <w:sz w:val="16"/>
                <w:szCs w:val="16"/>
              </w:rPr>
              <w:t>wef</w:t>
            </w:r>
            <w:proofErr w:type="spellEnd"/>
            <w:r w:rsidR="00DE7212" w:rsidRPr="009D0E5A">
              <w:rPr>
                <w:rFonts w:cs="Calibri"/>
                <w:i/>
                <w:sz w:val="16"/>
                <w:szCs w:val="16"/>
              </w:rPr>
              <w:t xml:space="preserve"> 1 Dec 12)</w:t>
            </w:r>
            <w:r w:rsidRPr="009D0E5A">
              <w:rPr>
                <w:rFonts w:cs="Calibri"/>
                <w:i/>
                <w:sz w:val="16"/>
                <w:szCs w:val="16"/>
              </w:rPr>
              <w:t xml:space="preserve"> </w:t>
            </w:r>
          </w:p>
          <w:p w14:paraId="48444CFF" w14:textId="2A902C45" w:rsidR="00D35959" w:rsidRPr="009D0E5A" w:rsidRDefault="00D35959" w:rsidP="009D0E5A">
            <w:pPr>
              <w:spacing w:after="0" w:line="240" w:lineRule="auto"/>
              <w:rPr>
                <w:rFonts w:cs="Calibri"/>
                <w:u w:val="single"/>
              </w:rPr>
            </w:pPr>
            <w:r w:rsidRPr="009D0E5A">
              <w:rPr>
                <w:rFonts w:cs="Calibri"/>
              </w:rPr>
              <w:t>Before an FDW starts working, EA must ensure that the prescribed Safety Agreement is explained, agreed, signed and kept by the FDW and her employer. The EA must ensure the FDW retains her Handy Guide as well as any safety guidelines, extendable wiper, etc. provided during SAC/SIP for deployment to the employer. The EA must also furnish the employer with a copy of the safety advisory and FDW observation checklist that is provided by the SIP trainers.</w:t>
            </w:r>
          </w:p>
        </w:tc>
        <w:tc>
          <w:tcPr>
            <w:tcW w:w="850" w:type="dxa"/>
          </w:tcPr>
          <w:p w14:paraId="48444D00" w14:textId="77777777" w:rsidR="00D35959" w:rsidRPr="00A81B05" w:rsidRDefault="00D35959" w:rsidP="00782F21">
            <w:pPr>
              <w:spacing w:after="0" w:line="264" w:lineRule="auto"/>
              <w:jc w:val="center"/>
              <w:rPr>
                <w:rFonts w:cs="Calibri"/>
              </w:rPr>
            </w:pPr>
          </w:p>
        </w:tc>
        <w:tc>
          <w:tcPr>
            <w:tcW w:w="850" w:type="dxa"/>
          </w:tcPr>
          <w:p w14:paraId="48444D01" w14:textId="77777777" w:rsidR="00D35959" w:rsidRPr="00A81B05" w:rsidRDefault="00D35959" w:rsidP="00782F21">
            <w:pPr>
              <w:spacing w:after="0" w:line="264" w:lineRule="auto"/>
              <w:jc w:val="center"/>
              <w:rPr>
                <w:rFonts w:cs="Calibri"/>
              </w:rPr>
            </w:pPr>
          </w:p>
        </w:tc>
      </w:tr>
      <w:tr w:rsidR="00D35959" w:rsidRPr="00A81B05" w14:paraId="48444D09" w14:textId="77777777" w:rsidTr="00782F21">
        <w:tc>
          <w:tcPr>
            <w:tcW w:w="534" w:type="dxa"/>
          </w:tcPr>
          <w:p w14:paraId="48444D03" w14:textId="61B9FA70" w:rsidR="00D35959" w:rsidRPr="009D0E5A" w:rsidRDefault="002D0BC4" w:rsidP="00782F21">
            <w:pPr>
              <w:spacing w:after="0" w:line="264" w:lineRule="auto"/>
              <w:ind w:left="-142" w:right="-108"/>
              <w:jc w:val="center"/>
              <w:rPr>
                <w:rFonts w:cs="Calibri"/>
              </w:rPr>
            </w:pPr>
            <w:r w:rsidRPr="009D0E5A">
              <w:rPr>
                <w:rFonts w:cs="Calibri"/>
              </w:rPr>
              <w:t>25</w:t>
            </w:r>
          </w:p>
        </w:tc>
        <w:tc>
          <w:tcPr>
            <w:tcW w:w="8505" w:type="dxa"/>
          </w:tcPr>
          <w:p w14:paraId="48444D04" w14:textId="3ACA7F57" w:rsidR="00D35959" w:rsidRPr="009D0E5A" w:rsidRDefault="00D35959" w:rsidP="00782F21">
            <w:pPr>
              <w:spacing w:after="0" w:line="240" w:lineRule="auto"/>
              <w:rPr>
                <w:rFonts w:cs="Calibri"/>
              </w:rPr>
            </w:pPr>
            <w:r w:rsidRPr="009D0E5A">
              <w:rPr>
                <w:rFonts w:cs="Calibri"/>
                <w:color w:val="E36C0A" w:themeColor="accent6" w:themeShade="BF"/>
                <w:u w:val="single"/>
              </w:rPr>
              <w:t>Rest Day Agreement</w:t>
            </w:r>
            <w:r w:rsidRPr="009D0E5A">
              <w:rPr>
                <w:rFonts w:cs="Calibri"/>
              </w:rPr>
              <w:t xml:space="preserve"> </w:t>
            </w:r>
            <w:r w:rsidRPr="009D0E5A">
              <w:rPr>
                <w:rFonts w:cs="Calibri"/>
                <w:i/>
                <w:sz w:val="16"/>
                <w:szCs w:val="16"/>
              </w:rPr>
              <w:t>(</w:t>
            </w:r>
            <w:proofErr w:type="spellStart"/>
            <w:r w:rsidRPr="009D0E5A">
              <w:rPr>
                <w:rFonts w:cs="Calibri"/>
                <w:i/>
                <w:sz w:val="16"/>
                <w:szCs w:val="16"/>
              </w:rPr>
              <w:t>wef</w:t>
            </w:r>
            <w:proofErr w:type="spellEnd"/>
            <w:r w:rsidRPr="009D0E5A">
              <w:rPr>
                <w:rFonts w:cs="Calibri"/>
                <w:i/>
                <w:sz w:val="16"/>
                <w:szCs w:val="16"/>
              </w:rPr>
              <w:t xml:space="preserve"> 1 Jan 13) </w:t>
            </w:r>
          </w:p>
          <w:p w14:paraId="48444D06" w14:textId="2D58AA31" w:rsidR="00D35959" w:rsidRPr="009D0E5A" w:rsidRDefault="00D35959" w:rsidP="00C11CF5">
            <w:pPr>
              <w:spacing w:after="0" w:line="240" w:lineRule="auto"/>
              <w:rPr>
                <w:rFonts w:cs="Calibri"/>
                <w:color w:val="0000CC"/>
                <w:u w:val="single"/>
              </w:rPr>
            </w:pPr>
            <w:r w:rsidRPr="009D0E5A">
              <w:rPr>
                <w:rFonts w:cs="Calibri"/>
              </w:rPr>
              <w:t xml:space="preserve">All FDWs whose Work Permits are applied or renewed on or after 01 Jan 2013 should either be given a weekly rest day or be compensated with extra pay if the FDW agrees to work on her rest day. The EAs must facilitate the signing of the prescribed rest day agreement form between the FDW and her employer. </w:t>
            </w:r>
          </w:p>
        </w:tc>
        <w:tc>
          <w:tcPr>
            <w:tcW w:w="850" w:type="dxa"/>
          </w:tcPr>
          <w:p w14:paraId="48444D07" w14:textId="77777777" w:rsidR="00D35959" w:rsidRPr="00A81B05" w:rsidRDefault="00D35959" w:rsidP="00782F21">
            <w:pPr>
              <w:spacing w:after="0" w:line="264" w:lineRule="auto"/>
              <w:jc w:val="center"/>
              <w:rPr>
                <w:rFonts w:cs="Calibri"/>
              </w:rPr>
            </w:pPr>
          </w:p>
        </w:tc>
        <w:tc>
          <w:tcPr>
            <w:tcW w:w="850" w:type="dxa"/>
          </w:tcPr>
          <w:p w14:paraId="48444D08" w14:textId="77777777" w:rsidR="00D35959" w:rsidRPr="00A81B05" w:rsidRDefault="00D35959" w:rsidP="00782F21">
            <w:pPr>
              <w:spacing w:after="0" w:line="264" w:lineRule="auto"/>
              <w:jc w:val="center"/>
              <w:rPr>
                <w:rFonts w:cs="Calibri"/>
              </w:rPr>
            </w:pPr>
          </w:p>
        </w:tc>
      </w:tr>
      <w:tr w:rsidR="00C00DD5" w:rsidRPr="00A81B05" w14:paraId="48444D0B" w14:textId="77777777" w:rsidTr="0012549E">
        <w:tc>
          <w:tcPr>
            <w:tcW w:w="10739" w:type="dxa"/>
            <w:gridSpan w:val="4"/>
            <w:tcBorders>
              <w:bottom w:val="single" w:sz="4" w:space="0" w:color="auto"/>
            </w:tcBorders>
            <w:shd w:val="clear" w:color="auto" w:fill="31849B" w:themeFill="accent5" w:themeFillShade="BF"/>
          </w:tcPr>
          <w:p w14:paraId="48444D0A" w14:textId="77777777" w:rsidR="00C00DD5" w:rsidRPr="009D0E5A" w:rsidRDefault="00C00DD5" w:rsidP="00217FAA">
            <w:pPr>
              <w:spacing w:after="0" w:line="264" w:lineRule="auto"/>
              <w:rPr>
                <w:rFonts w:cs="Calibri"/>
                <w:b/>
                <w:color w:val="FFFFFF"/>
              </w:rPr>
            </w:pPr>
            <w:r w:rsidRPr="009D0E5A">
              <w:rPr>
                <w:rFonts w:cs="Calibri"/>
                <w:b/>
                <w:color w:val="FFFFFF"/>
              </w:rPr>
              <w:t>EA’s Duty of Care to Employers</w:t>
            </w:r>
          </w:p>
        </w:tc>
      </w:tr>
      <w:tr w:rsidR="006325C1" w:rsidRPr="00A81B05" w14:paraId="48444D11" w14:textId="77777777" w:rsidTr="000C7E34">
        <w:tc>
          <w:tcPr>
            <w:tcW w:w="534" w:type="dxa"/>
            <w:tcBorders>
              <w:bottom w:val="single" w:sz="4" w:space="0" w:color="auto"/>
            </w:tcBorders>
          </w:tcPr>
          <w:p w14:paraId="48444D0C" w14:textId="53731B06" w:rsidR="006325C1" w:rsidRPr="009D0E5A" w:rsidRDefault="007E4D40" w:rsidP="006325C1">
            <w:pPr>
              <w:spacing w:after="0" w:line="264" w:lineRule="auto"/>
              <w:jc w:val="center"/>
              <w:rPr>
                <w:rFonts w:cs="Calibri"/>
              </w:rPr>
            </w:pPr>
            <w:r w:rsidRPr="009D0E5A">
              <w:rPr>
                <w:rFonts w:cs="Calibri"/>
              </w:rPr>
              <w:t>2</w:t>
            </w:r>
            <w:r w:rsidR="002D0BC4" w:rsidRPr="009D0E5A">
              <w:rPr>
                <w:rFonts w:cs="Calibri"/>
              </w:rPr>
              <w:t>6</w:t>
            </w:r>
          </w:p>
        </w:tc>
        <w:tc>
          <w:tcPr>
            <w:tcW w:w="8505" w:type="dxa"/>
            <w:tcBorders>
              <w:bottom w:val="single" w:sz="4" w:space="0" w:color="auto"/>
            </w:tcBorders>
          </w:tcPr>
          <w:p w14:paraId="48444D0D" w14:textId="77777777" w:rsidR="006325C1" w:rsidRPr="009D0E5A" w:rsidRDefault="006325C1" w:rsidP="006325C1">
            <w:pPr>
              <w:spacing w:after="0" w:line="240" w:lineRule="auto"/>
              <w:rPr>
                <w:rFonts w:cs="Calibri"/>
                <w:color w:val="E36C0A" w:themeColor="accent6" w:themeShade="BF"/>
                <w:u w:val="single"/>
              </w:rPr>
            </w:pPr>
            <w:r w:rsidRPr="009D0E5A">
              <w:rPr>
                <w:rFonts w:cs="Calibri"/>
                <w:color w:val="E36C0A" w:themeColor="accent6" w:themeShade="BF"/>
                <w:u w:val="single"/>
              </w:rPr>
              <w:t>Dispute Resolution Mechanism</w:t>
            </w:r>
            <w:r w:rsidR="0067688F" w:rsidRPr="009D0E5A">
              <w:rPr>
                <w:rFonts w:cs="Calibri"/>
                <w:color w:val="E36C0A" w:themeColor="accent6" w:themeShade="BF"/>
                <w:u w:val="single"/>
              </w:rPr>
              <w:t xml:space="preserve"> </w:t>
            </w:r>
          </w:p>
          <w:p w14:paraId="48444D0E" w14:textId="77777777" w:rsidR="006325C1" w:rsidRPr="009D0E5A" w:rsidRDefault="006325C1" w:rsidP="006325C1">
            <w:pPr>
              <w:spacing w:after="0" w:line="240" w:lineRule="auto"/>
              <w:rPr>
                <w:rFonts w:cs="Calibri"/>
              </w:rPr>
            </w:pPr>
            <w:r w:rsidRPr="009D0E5A">
              <w:rPr>
                <w:rFonts w:cs="Calibri"/>
              </w:rPr>
              <w:t>The EA discloses to clients and applicants for employment the EA’s dispute resolution mechanism prior to engagement of service.</w:t>
            </w:r>
          </w:p>
        </w:tc>
        <w:tc>
          <w:tcPr>
            <w:tcW w:w="850" w:type="dxa"/>
            <w:tcBorders>
              <w:bottom w:val="single" w:sz="4" w:space="0" w:color="auto"/>
            </w:tcBorders>
          </w:tcPr>
          <w:p w14:paraId="48444D0F" w14:textId="77777777" w:rsidR="006325C1" w:rsidRPr="00A81B05" w:rsidRDefault="006325C1" w:rsidP="006325C1">
            <w:pPr>
              <w:spacing w:after="0" w:line="264" w:lineRule="auto"/>
              <w:jc w:val="center"/>
              <w:rPr>
                <w:rFonts w:cs="Calibri"/>
              </w:rPr>
            </w:pPr>
          </w:p>
        </w:tc>
        <w:tc>
          <w:tcPr>
            <w:tcW w:w="850" w:type="dxa"/>
            <w:tcBorders>
              <w:bottom w:val="single" w:sz="4" w:space="0" w:color="auto"/>
            </w:tcBorders>
          </w:tcPr>
          <w:p w14:paraId="48444D10" w14:textId="77777777" w:rsidR="006325C1" w:rsidRPr="00A81B05" w:rsidRDefault="006325C1" w:rsidP="006325C1">
            <w:pPr>
              <w:spacing w:after="0" w:line="264" w:lineRule="auto"/>
              <w:jc w:val="center"/>
              <w:rPr>
                <w:rFonts w:cs="Calibri"/>
              </w:rPr>
            </w:pPr>
          </w:p>
        </w:tc>
      </w:tr>
      <w:tr w:rsidR="006325C1" w:rsidRPr="00A81B05" w14:paraId="48444D17" w14:textId="77777777" w:rsidTr="000C7E34">
        <w:tc>
          <w:tcPr>
            <w:tcW w:w="534" w:type="dxa"/>
          </w:tcPr>
          <w:p w14:paraId="48444D12" w14:textId="2D5CE13E" w:rsidR="006325C1" w:rsidRPr="009D0E5A" w:rsidRDefault="003300DA" w:rsidP="006325C1">
            <w:pPr>
              <w:spacing w:after="0" w:line="264" w:lineRule="auto"/>
              <w:jc w:val="center"/>
              <w:rPr>
                <w:rFonts w:cs="Calibri"/>
              </w:rPr>
            </w:pPr>
            <w:r w:rsidRPr="009D0E5A">
              <w:rPr>
                <w:rFonts w:cs="Calibri"/>
              </w:rPr>
              <w:t>2</w:t>
            </w:r>
            <w:r w:rsidR="002D0BC4" w:rsidRPr="009D0E5A">
              <w:rPr>
                <w:rFonts w:cs="Calibri"/>
              </w:rPr>
              <w:t>7</w:t>
            </w:r>
          </w:p>
        </w:tc>
        <w:tc>
          <w:tcPr>
            <w:tcW w:w="8505" w:type="dxa"/>
          </w:tcPr>
          <w:p w14:paraId="48444D13" w14:textId="77777777" w:rsidR="006325C1" w:rsidRPr="009D0E5A" w:rsidRDefault="001061C9" w:rsidP="006325C1">
            <w:pPr>
              <w:spacing w:after="0" w:line="240" w:lineRule="auto"/>
              <w:rPr>
                <w:rFonts w:cs="Calibri"/>
                <w:color w:val="E36C0A" w:themeColor="accent6" w:themeShade="BF"/>
                <w:u w:val="single"/>
              </w:rPr>
            </w:pPr>
            <w:r w:rsidRPr="009D0E5A">
              <w:rPr>
                <w:rFonts w:cs="Calibri"/>
                <w:color w:val="E36C0A" w:themeColor="accent6" w:themeShade="BF"/>
                <w:u w:val="single"/>
              </w:rPr>
              <w:t xml:space="preserve">Scale of </w:t>
            </w:r>
            <w:r w:rsidR="006325C1" w:rsidRPr="009D0E5A">
              <w:rPr>
                <w:rFonts w:cs="Calibri"/>
                <w:color w:val="E36C0A" w:themeColor="accent6" w:themeShade="BF"/>
                <w:u w:val="single"/>
              </w:rPr>
              <w:t>Fees</w:t>
            </w:r>
            <w:r w:rsidR="0067688F" w:rsidRPr="009D0E5A">
              <w:rPr>
                <w:rFonts w:cs="Calibri"/>
                <w:color w:val="E36C0A" w:themeColor="accent6" w:themeShade="BF"/>
                <w:u w:val="single"/>
              </w:rPr>
              <w:t xml:space="preserve"> </w:t>
            </w:r>
          </w:p>
          <w:p w14:paraId="48444D14" w14:textId="77777777" w:rsidR="006325C1" w:rsidRPr="009D0E5A" w:rsidRDefault="00EF1051" w:rsidP="00EF1051">
            <w:pPr>
              <w:spacing w:after="0" w:line="240" w:lineRule="auto"/>
              <w:rPr>
                <w:rFonts w:cs="Calibri"/>
              </w:rPr>
            </w:pPr>
            <w:r w:rsidRPr="009D0E5A">
              <w:rPr>
                <w:rFonts w:cs="Calibri"/>
              </w:rPr>
              <w:t>The EA clearly communicates in writing the</w:t>
            </w:r>
            <w:r w:rsidR="006325C1" w:rsidRPr="009D0E5A">
              <w:rPr>
                <w:rFonts w:cs="Calibri"/>
              </w:rPr>
              <w:t xml:space="preserve"> scale of fees to be charged to a client or an applicant for employment. The list of fees should be comprehensive and include all the chargeable services provided by the EA.</w:t>
            </w:r>
          </w:p>
        </w:tc>
        <w:tc>
          <w:tcPr>
            <w:tcW w:w="850" w:type="dxa"/>
          </w:tcPr>
          <w:p w14:paraId="48444D15" w14:textId="77777777" w:rsidR="006325C1" w:rsidRPr="00A81B05" w:rsidRDefault="006325C1" w:rsidP="006325C1">
            <w:pPr>
              <w:spacing w:after="0" w:line="264" w:lineRule="auto"/>
              <w:jc w:val="center"/>
              <w:rPr>
                <w:rFonts w:cs="Calibri"/>
              </w:rPr>
            </w:pPr>
          </w:p>
        </w:tc>
        <w:tc>
          <w:tcPr>
            <w:tcW w:w="850" w:type="dxa"/>
          </w:tcPr>
          <w:p w14:paraId="48444D16" w14:textId="77777777" w:rsidR="006325C1" w:rsidRPr="00A81B05" w:rsidRDefault="006325C1" w:rsidP="006325C1">
            <w:pPr>
              <w:spacing w:after="0" w:line="264" w:lineRule="auto"/>
              <w:jc w:val="center"/>
              <w:rPr>
                <w:rFonts w:cs="Calibri"/>
              </w:rPr>
            </w:pPr>
          </w:p>
        </w:tc>
      </w:tr>
      <w:tr w:rsidR="007E4D40" w:rsidRPr="00B538FF" w14:paraId="48444D1D" w14:textId="77777777" w:rsidTr="000C7E34">
        <w:tc>
          <w:tcPr>
            <w:tcW w:w="534" w:type="dxa"/>
          </w:tcPr>
          <w:p w14:paraId="48444D18" w14:textId="1A85F972" w:rsidR="007E4D40" w:rsidRPr="009D0E5A" w:rsidRDefault="002D0BC4" w:rsidP="00021EE0">
            <w:pPr>
              <w:spacing w:after="0" w:line="264" w:lineRule="auto"/>
              <w:jc w:val="center"/>
              <w:rPr>
                <w:rFonts w:cs="Calibri"/>
              </w:rPr>
            </w:pPr>
            <w:r w:rsidRPr="009D0E5A">
              <w:rPr>
                <w:rFonts w:cs="Calibri"/>
              </w:rPr>
              <w:t>28</w:t>
            </w:r>
          </w:p>
          <w:p w14:paraId="48444D19" w14:textId="1A9DE218" w:rsidR="007E4D40" w:rsidRPr="009D0E5A" w:rsidRDefault="007E4D40" w:rsidP="00021EE0">
            <w:pPr>
              <w:spacing w:after="0" w:line="264" w:lineRule="auto"/>
              <w:jc w:val="center"/>
              <w:rPr>
                <w:rFonts w:cs="Calibri"/>
              </w:rPr>
            </w:pPr>
          </w:p>
        </w:tc>
        <w:tc>
          <w:tcPr>
            <w:tcW w:w="8505" w:type="dxa"/>
          </w:tcPr>
          <w:p w14:paraId="48444D1A" w14:textId="1866607C" w:rsidR="007E4D40" w:rsidRPr="009D0E5A" w:rsidRDefault="007E4D40" w:rsidP="009D0E5A">
            <w:pPr>
              <w:spacing w:after="0" w:line="240" w:lineRule="auto"/>
              <w:rPr>
                <w:rFonts w:cs="Calibri"/>
                <w:color w:val="E36C0A" w:themeColor="accent6" w:themeShade="BF"/>
                <w:u w:val="single"/>
              </w:rPr>
            </w:pPr>
            <w:r w:rsidRPr="009D0E5A">
              <w:rPr>
                <w:rFonts w:cs="Calibri"/>
              </w:rPr>
              <w:t>If the EA wishes to inform prospective employers of fees, EA must not misrepresent the costs of MOM’s legal or administrative requirements (</w:t>
            </w:r>
            <w:r w:rsidR="007831B0" w:rsidRPr="009D0E5A">
              <w:rPr>
                <w:rFonts w:cs="Calibri"/>
              </w:rPr>
              <w:t>e.g.</w:t>
            </w:r>
            <w:r w:rsidRPr="009D0E5A">
              <w:rPr>
                <w:rFonts w:cs="Calibri"/>
              </w:rPr>
              <w:t xml:space="preserve"> Costs of SIP, WP application </w:t>
            </w:r>
            <w:proofErr w:type="spellStart"/>
            <w:r w:rsidRPr="009D0E5A">
              <w:rPr>
                <w:rFonts w:cs="Calibri"/>
              </w:rPr>
              <w:t>etc</w:t>
            </w:r>
            <w:proofErr w:type="spellEnd"/>
            <w:r w:rsidRPr="009D0E5A">
              <w:rPr>
                <w:rFonts w:cs="Calibri"/>
              </w:rPr>
              <w:t xml:space="preserve">), and must provide a breakdown of such costs to the prospective employer in writing. </w:t>
            </w:r>
            <w:r w:rsidRPr="009D0E5A">
              <w:rPr>
                <w:rFonts w:cs="Calibri"/>
                <w:i/>
                <w:sz w:val="16"/>
                <w:szCs w:val="16"/>
              </w:rPr>
              <w:t>(</w:t>
            </w:r>
            <w:proofErr w:type="spellStart"/>
            <w:r w:rsidRPr="009D0E5A">
              <w:rPr>
                <w:rFonts w:cs="Calibri"/>
                <w:i/>
                <w:sz w:val="16"/>
                <w:szCs w:val="16"/>
              </w:rPr>
              <w:t>wef</w:t>
            </w:r>
            <w:proofErr w:type="spellEnd"/>
            <w:r w:rsidRPr="009D0E5A">
              <w:rPr>
                <w:rFonts w:cs="Calibri"/>
                <w:i/>
                <w:sz w:val="16"/>
                <w:szCs w:val="16"/>
              </w:rPr>
              <w:t xml:space="preserve"> 1 Jul 14)</w:t>
            </w:r>
          </w:p>
        </w:tc>
        <w:tc>
          <w:tcPr>
            <w:tcW w:w="850" w:type="dxa"/>
          </w:tcPr>
          <w:p w14:paraId="48444D1B" w14:textId="77777777" w:rsidR="007E4D40" w:rsidRPr="00B538FF" w:rsidRDefault="007E4D40" w:rsidP="006325C1">
            <w:pPr>
              <w:spacing w:after="0" w:line="264" w:lineRule="auto"/>
              <w:jc w:val="center"/>
              <w:rPr>
                <w:rFonts w:cs="Calibri"/>
                <w:highlight w:val="yellow"/>
              </w:rPr>
            </w:pPr>
          </w:p>
        </w:tc>
        <w:tc>
          <w:tcPr>
            <w:tcW w:w="850" w:type="dxa"/>
          </w:tcPr>
          <w:p w14:paraId="48444D1C" w14:textId="77777777" w:rsidR="007E4D40" w:rsidRPr="00B538FF" w:rsidRDefault="007E4D40" w:rsidP="006325C1">
            <w:pPr>
              <w:spacing w:after="0" w:line="264" w:lineRule="auto"/>
              <w:jc w:val="center"/>
              <w:rPr>
                <w:rFonts w:cs="Calibri"/>
                <w:highlight w:val="yellow"/>
              </w:rPr>
            </w:pPr>
          </w:p>
        </w:tc>
      </w:tr>
      <w:tr w:rsidR="007E4D40" w:rsidRPr="00A81B05" w14:paraId="48444D22" w14:textId="77777777" w:rsidTr="000C7E34">
        <w:tc>
          <w:tcPr>
            <w:tcW w:w="534" w:type="dxa"/>
          </w:tcPr>
          <w:p w14:paraId="48444D1E" w14:textId="59DC93A7" w:rsidR="007E4D40" w:rsidRPr="009D0E5A" w:rsidRDefault="002D0BC4" w:rsidP="00021EE0">
            <w:pPr>
              <w:spacing w:after="0" w:line="264" w:lineRule="auto"/>
              <w:jc w:val="center"/>
              <w:rPr>
                <w:rFonts w:cs="Calibri"/>
              </w:rPr>
            </w:pPr>
            <w:r w:rsidRPr="009D0E5A">
              <w:rPr>
                <w:rFonts w:cs="Calibri"/>
              </w:rPr>
              <w:t>29</w:t>
            </w:r>
          </w:p>
        </w:tc>
        <w:tc>
          <w:tcPr>
            <w:tcW w:w="8505" w:type="dxa"/>
          </w:tcPr>
          <w:p w14:paraId="48444D1F" w14:textId="77777777" w:rsidR="007E4D40" w:rsidRPr="009D0E5A" w:rsidRDefault="007E4D40" w:rsidP="00021EE0">
            <w:pPr>
              <w:spacing w:after="0" w:line="240" w:lineRule="auto"/>
              <w:rPr>
                <w:rFonts w:cs="Calibri"/>
              </w:rPr>
            </w:pPr>
            <w:r w:rsidRPr="009D0E5A">
              <w:rPr>
                <w:rFonts w:cs="Calibri"/>
              </w:rPr>
              <w:t xml:space="preserve">After an employer engages the services of an EA, the EA must sign a written agreement with the employer which clearly states the breakdown of fees payable by the employer for MOM’s legal or administrative requirements. </w:t>
            </w:r>
            <w:r w:rsidRPr="009D0E5A">
              <w:rPr>
                <w:rFonts w:cs="Calibri"/>
                <w:i/>
                <w:sz w:val="16"/>
                <w:szCs w:val="16"/>
              </w:rPr>
              <w:t>(</w:t>
            </w:r>
            <w:proofErr w:type="spellStart"/>
            <w:r w:rsidRPr="009D0E5A">
              <w:rPr>
                <w:rFonts w:cs="Calibri"/>
                <w:i/>
                <w:sz w:val="16"/>
                <w:szCs w:val="16"/>
              </w:rPr>
              <w:t>wef</w:t>
            </w:r>
            <w:proofErr w:type="spellEnd"/>
            <w:r w:rsidRPr="009D0E5A">
              <w:rPr>
                <w:rFonts w:cs="Calibri"/>
                <w:i/>
                <w:sz w:val="16"/>
                <w:szCs w:val="16"/>
              </w:rPr>
              <w:t xml:space="preserve"> 1 Jul 14)</w:t>
            </w:r>
          </w:p>
        </w:tc>
        <w:tc>
          <w:tcPr>
            <w:tcW w:w="850" w:type="dxa"/>
          </w:tcPr>
          <w:p w14:paraId="48444D20" w14:textId="77777777" w:rsidR="007E4D40" w:rsidRPr="00A81B05" w:rsidRDefault="007E4D40" w:rsidP="006325C1">
            <w:pPr>
              <w:spacing w:after="0" w:line="264" w:lineRule="auto"/>
              <w:jc w:val="center"/>
              <w:rPr>
                <w:rFonts w:cs="Calibri"/>
              </w:rPr>
            </w:pPr>
          </w:p>
        </w:tc>
        <w:tc>
          <w:tcPr>
            <w:tcW w:w="850" w:type="dxa"/>
          </w:tcPr>
          <w:p w14:paraId="48444D21" w14:textId="77777777" w:rsidR="007E4D40" w:rsidRPr="00A81B05" w:rsidRDefault="007E4D40" w:rsidP="006325C1">
            <w:pPr>
              <w:spacing w:after="0" w:line="264" w:lineRule="auto"/>
              <w:jc w:val="center"/>
              <w:rPr>
                <w:rFonts w:cs="Calibri"/>
              </w:rPr>
            </w:pPr>
          </w:p>
        </w:tc>
      </w:tr>
      <w:tr w:rsidR="007E4D40" w:rsidRPr="00A81B05" w14:paraId="48444D28" w14:textId="77777777" w:rsidTr="000C7E34">
        <w:tc>
          <w:tcPr>
            <w:tcW w:w="534" w:type="dxa"/>
          </w:tcPr>
          <w:p w14:paraId="48444D23" w14:textId="7BCBAA4E" w:rsidR="007E4D40" w:rsidRPr="009D0E5A" w:rsidRDefault="002D0BC4" w:rsidP="003434D7">
            <w:pPr>
              <w:spacing w:after="0" w:line="264" w:lineRule="auto"/>
              <w:jc w:val="center"/>
              <w:rPr>
                <w:rFonts w:cs="Calibri"/>
              </w:rPr>
            </w:pPr>
            <w:r w:rsidRPr="009D0E5A">
              <w:rPr>
                <w:rFonts w:cs="Calibri"/>
              </w:rPr>
              <w:t>30</w:t>
            </w:r>
          </w:p>
        </w:tc>
        <w:tc>
          <w:tcPr>
            <w:tcW w:w="8505" w:type="dxa"/>
          </w:tcPr>
          <w:p w14:paraId="48444D24" w14:textId="77777777" w:rsidR="007E4D40" w:rsidRPr="009D0E5A" w:rsidRDefault="007E4D40" w:rsidP="0016050B">
            <w:pPr>
              <w:spacing w:after="0" w:line="240" w:lineRule="auto"/>
              <w:rPr>
                <w:rFonts w:cs="Calibri"/>
                <w:color w:val="E36C0A" w:themeColor="accent6" w:themeShade="BF"/>
                <w:u w:val="single"/>
              </w:rPr>
            </w:pPr>
            <w:r w:rsidRPr="009D0E5A">
              <w:rPr>
                <w:rFonts w:cs="Calibri"/>
                <w:color w:val="E36C0A" w:themeColor="accent6" w:themeShade="BF"/>
                <w:u w:val="single"/>
              </w:rPr>
              <w:t xml:space="preserve">Authorization by clients </w:t>
            </w:r>
          </w:p>
          <w:p w14:paraId="48444D25" w14:textId="30A1C904" w:rsidR="009D0E5A" w:rsidRPr="009D0E5A" w:rsidRDefault="007E4D40" w:rsidP="000B097C">
            <w:pPr>
              <w:spacing w:after="0" w:line="240" w:lineRule="auto"/>
              <w:rPr>
                <w:rFonts w:cs="Calibri"/>
              </w:rPr>
            </w:pPr>
            <w:r w:rsidRPr="009D0E5A">
              <w:rPr>
                <w:rFonts w:cs="Calibri"/>
              </w:rPr>
              <w:t>The EA obtains written authorization from clients in a form prescribed by MOM prior to making any work pass transaction on behalf of an employer who wants to hire a foreign employee.</w:t>
            </w:r>
          </w:p>
        </w:tc>
        <w:tc>
          <w:tcPr>
            <w:tcW w:w="850" w:type="dxa"/>
          </w:tcPr>
          <w:p w14:paraId="48444D26" w14:textId="77777777" w:rsidR="007E4D40" w:rsidRPr="00A81B05" w:rsidRDefault="007E4D40" w:rsidP="00482DDC">
            <w:pPr>
              <w:spacing w:after="0" w:line="264" w:lineRule="auto"/>
              <w:jc w:val="center"/>
              <w:rPr>
                <w:rFonts w:cs="Calibri"/>
              </w:rPr>
            </w:pPr>
          </w:p>
        </w:tc>
        <w:tc>
          <w:tcPr>
            <w:tcW w:w="850" w:type="dxa"/>
          </w:tcPr>
          <w:p w14:paraId="48444D27" w14:textId="77777777" w:rsidR="007E4D40" w:rsidRPr="00A81B05" w:rsidRDefault="007E4D40" w:rsidP="00482DDC">
            <w:pPr>
              <w:spacing w:after="0" w:line="264" w:lineRule="auto"/>
              <w:jc w:val="center"/>
              <w:rPr>
                <w:rFonts w:cs="Calibri"/>
              </w:rPr>
            </w:pPr>
          </w:p>
        </w:tc>
      </w:tr>
      <w:tr w:rsidR="00A9778D" w:rsidRPr="00A81B05" w14:paraId="1B0D8FE5" w14:textId="77777777" w:rsidTr="00712CB9">
        <w:tc>
          <w:tcPr>
            <w:tcW w:w="9039" w:type="dxa"/>
            <w:gridSpan w:val="2"/>
            <w:shd w:val="clear" w:color="auto" w:fill="4F81BD" w:themeFill="accent1"/>
          </w:tcPr>
          <w:p w14:paraId="1E9E4E51" w14:textId="0BA4C377" w:rsidR="00A9778D" w:rsidRPr="009D0E5A" w:rsidRDefault="00A9778D" w:rsidP="00A9778D">
            <w:pPr>
              <w:spacing w:after="0" w:line="240" w:lineRule="auto"/>
              <w:jc w:val="both"/>
              <w:rPr>
                <w:rFonts w:cs="Calibri"/>
                <w:b/>
                <w:color w:val="000000" w:themeColor="text1"/>
                <w:u w:val="single"/>
              </w:rPr>
            </w:pPr>
            <w:r w:rsidRPr="009D0E5A">
              <w:rPr>
                <w:b/>
                <w:color w:val="000000" w:themeColor="text1"/>
              </w:rPr>
              <w:t>EAs which place out FDWs must also adhere to the following regulations:</w:t>
            </w:r>
          </w:p>
        </w:tc>
        <w:tc>
          <w:tcPr>
            <w:tcW w:w="850" w:type="dxa"/>
            <w:shd w:val="clear" w:color="auto" w:fill="4F81BD" w:themeFill="accent1"/>
          </w:tcPr>
          <w:p w14:paraId="3A2F3A2A" w14:textId="77777777" w:rsidR="00A9778D" w:rsidRPr="00A9778D" w:rsidRDefault="00A9778D" w:rsidP="00482DDC">
            <w:pPr>
              <w:spacing w:after="0" w:line="264" w:lineRule="auto"/>
              <w:jc w:val="center"/>
              <w:rPr>
                <w:rFonts w:cs="Calibri"/>
                <w:highlight w:val="blue"/>
              </w:rPr>
            </w:pPr>
          </w:p>
        </w:tc>
        <w:tc>
          <w:tcPr>
            <w:tcW w:w="850" w:type="dxa"/>
            <w:shd w:val="clear" w:color="auto" w:fill="4F81BD" w:themeFill="accent1"/>
          </w:tcPr>
          <w:p w14:paraId="40D734B3" w14:textId="77777777" w:rsidR="00A9778D" w:rsidRPr="00A9778D" w:rsidRDefault="00A9778D" w:rsidP="00482DDC">
            <w:pPr>
              <w:spacing w:after="0" w:line="264" w:lineRule="auto"/>
              <w:jc w:val="center"/>
              <w:rPr>
                <w:rFonts w:cs="Calibri"/>
                <w:highlight w:val="blue"/>
              </w:rPr>
            </w:pPr>
          </w:p>
        </w:tc>
      </w:tr>
      <w:tr w:rsidR="007E4D40" w:rsidRPr="00A81B05" w:rsidDel="00217FAA" w14:paraId="48444D2E" w14:textId="77777777" w:rsidTr="000C7E34">
        <w:tc>
          <w:tcPr>
            <w:tcW w:w="534" w:type="dxa"/>
          </w:tcPr>
          <w:p w14:paraId="48444D29" w14:textId="45AAD901" w:rsidR="007E4D40" w:rsidRPr="009D0E5A" w:rsidRDefault="002D0BC4" w:rsidP="007E4D40">
            <w:pPr>
              <w:spacing w:after="0" w:line="264" w:lineRule="auto"/>
              <w:ind w:right="-108" w:hanging="142"/>
              <w:jc w:val="center"/>
              <w:rPr>
                <w:rFonts w:cs="Calibri"/>
              </w:rPr>
            </w:pPr>
            <w:r w:rsidRPr="009D0E5A">
              <w:rPr>
                <w:rFonts w:cs="Calibri"/>
              </w:rPr>
              <w:t>31</w:t>
            </w:r>
          </w:p>
        </w:tc>
        <w:tc>
          <w:tcPr>
            <w:tcW w:w="8505" w:type="dxa"/>
          </w:tcPr>
          <w:p w14:paraId="48444D2A" w14:textId="3DCD6BB1" w:rsidR="007E4D40" w:rsidRPr="009D0E5A" w:rsidRDefault="007E4D40" w:rsidP="00782F21">
            <w:pPr>
              <w:spacing w:after="0" w:line="240" w:lineRule="auto"/>
              <w:rPr>
                <w:rFonts w:cs="Calibri"/>
                <w:i/>
              </w:rPr>
            </w:pPr>
            <w:r w:rsidRPr="009D0E5A">
              <w:rPr>
                <w:rFonts w:cs="Calibri"/>
                <w:color w:val="E36C0A" w:themeColor="accent6" w:themeShade="BF"/>
                <w:u w:val="single"/>
              </w:rPr>
              <w:t>Standard Biodata Format</w:t>
            </w:r>
            <w:r w:rsidR="00DE7212" w:rsidRPr="009D0E5A">
              <w:rPr>
                <w:rFonts w:cs="Calibri"/>
                <w:i/>
                <w:sz w:val="16"/>
                <w:szCs w:val="16"/>
              </w:rPr>
              <w:t xml:space="preserve"> (</w:t>
            </w:r>
            <w:proofErr w:type="spellStart"/>
            <w:r w:rsidR="00DE7212" w:rsidRPr="009D0E5A">
              <w:rPr>
                <w:rFonts w:cs="Calibri"/>
                <w:i/>
                <w:sz w:val="16"/>
                <w:szCs w:val="16"/>
              </w:rPr>
              <w:t>wef</w:t>
            </w:r>
            <w:proofErr w:type="spellEnd"/>
            <w:r w:rsidR="00DE7212" w:rsidRPr="009D0E5A">
              <w:rPr>
                <w:rFonts w:cs="Calibri"/>
                <w:i/>
                <w:sz w:val="16"/>
                <w:szCs w:val="16"/>
              </w:rPr>
              <w:t xml:space="preserve"> 15 Mar 13)</w:t>
            </w:r>
            <w:r w:rsidRPr="009D0E5A">
              <w:rPr>
                <w:rFonts w:cs="Calibri"/>
                <w:i/>
                <w:sz w:val="16"/>
                <w:szCs w:val="16"/>
              </w:rPr>
              <w:t xml:space="preserve"> </w:t>
            </w:r>
          </w:p>
          <w:p w14:paraId="48444D2B" w14:textId="77777777" w:rsidR="007E4D40" w:rsidRPr="009D0E5A" w:rsidDel="00217FAA" w:rsidRDefault="007E4D40" w:rsidP="00F61FC0">
            <w:pPr>
              <w:spacing w:after="0" w:line="240" w:lineRule="auto"/>
              <w:rPr>
                <w:rFonts w:cs="Calibri"/>
              </w:rPr>
            </w:pPr>
            <w:r w:rsidRPr="009D0E5A">
              <w:rPr>
                <w:rFonts w:cs="Calibri"/>
                <w:lang w:val="en-GB"/>
              </w:rPr>
              <w:t>Prior to any application of a work permit for a FDW, the EA has to furnish the prospective employer the full biodata of the FDW in the form as may be prescribed by the Commissioner.</w:t>
            </w:r>
          </w:p>
        </w:tc>
        <w:tc>
          <w:tcPr>
            <w:tcW w:w="850" w:type="dxa"/>
          </w:tcPr>
          <w:p w14:paraId="48444D2C" w14:textId="77777777" w:rsidR="007E4D40" w:rsidRPr="00A81B05" w:rsidDel="00217FAA" w:rsidRDefault="007E4D40" w:rsidP="00482DDC">
            <w:pPr>
              <w:spacing w:after="0" w:line="264" w:lineRule="auto"/>
              <w:jc w:val="center"/>
              <w:rPr>
                <w:rFonts w:cs="Calibri"/>
              </w:rPr>
            </w:pPr>
          </w:p>
        </w:tc>
        <w:tc>
          <w:tcPr>
            <w:tcW w:w="850" w:type="dxa"/>
          </w:tcPr>
          <w:p w14:paraId="48444D2D" w14:textId="77777777" w:rsidR="007E4D40" w:rsidRPr="00A81B05" w:rsidDel="00217FAA" w:rsidRDefault="007E4D40" w:rsidP="00482DDC">
            <w:pPr>
              <w:spacing w:after="0" w:line="264" w:lineRule="auto"/>
              <w:jc w:val="center"/>
              <w:rPr>
                <w:rFonts w:cs="Calibri"/>
              </w:rPr>
            </w:pPr>
          </w:p>
        </w:tc>
      </w:tr>
      <w:tr w:rsidR="007E4D40" w:rsidRPr="00A81B05" w:rsidDel="00217FAA" w14:paraId="48444D34" w14:textId="77777777" w:rsidTr="000C7E34">
        <w:tc>
          <w:tcPr>
            <w:tcW w:w="534" w:type="dxa"/>
          </w:tcPr>
          <w:p w14:paraId="48444D2F" w14:textId="73DC8535" w:rsidR="007E4D40" w:rsidRPr="009D0E5A" w:rsidRDefault="002D0BC4">
            <w:pPr>
              <w:spacing w:after="0" w:line="264" w:lineRule="auto"/>
              <w:ind w:hanging="142"/>
              <w:jc w:val="center"/>
              <w:rPr>
                <w:rFonts w:cs="Calibri"/>
              </w:rPr>
            </w:pPr>
            <w:r w:rsidRPr="009D0E5A">
              <w:rPr>
                <w:rFonts w:cs="Calibri"/>
              </w:rPr>
              <w:lastRenderedPageBreak/>
              <w:t xml:space="preserve">  32</w:t>
            </w:r>
          </w:p>
        </w:tc>
        <w:tc>
          <w:tcPr>
            <w:tcW w:w="8505" w:type="dxa"/>
          </w:tcPr>
          <w:p w14:paraId="48444D30" w14:textId="0312BC44" w:rsidR="007E4D40" w:rsidRPr="009D0E5A" w:rsidRDefault="007E4D40" w:rsidP="00782F21">
            <w:pPr>
              <w:spacing w:after="0" w:line="240" w:lineRule="auto"/>
              <w:rPr>
                <w:rFonts w:cs="Calibri"/>
              </w:rPr>
            </w:pPr>
            <w:r w:rsidRPr="009D0E5A">
              <w:rPr>
                <w:rFonts w:cs="Calibri"/>
                <w:color w:val="E36C0A" w:themeColor="accent6" w:themeShade="BF"/>
                <w:u w:val="single"/>
              </w:rPr>
              <w:t>Employment History</w:t>
            </w:r>
            <w:r w:rsidR="00DE7212" w:rsidRPr="009D0E5A">
              <w:rPr>
                <w:rFonts w:cs="Calibri"/>
                <w:color w:val="E36C0A" w:themeColor="accent6" w:themeShade="BF"/>
              </w:rPr>
              <w:t xml:space="preserve"> </w:t>
            </w:r>
            <w:r w:rsidR="00DE7212" w:rsidRPr="009D0E5A">
              <w:rPr>
                <w:rFonts w:cs="Calibri"/>
                <w:i/>
                <w:sz w:val="16"/>
                <w:szCs w:val="16"/>
                <w:u w:val="single"/>
              </w:rPr>
              <w:t>(</w:t>
            </w:r>
            <w:proofErr w:type="spellStart"/>
            <w:r w:rsidR="00DE7212" w:rsidRPr="009D0E5A">
              <w:rPr>
                <w:rFonts w:cs="Calibri"/>
                <w:i/>
                <w:sz w:val="16"/>
                <w:szCs w:val="16"/>
                <w:u w:val="single"/>
              </w:rPr>
              <w:t>wef</w:t>
            </w:r>
            <w:proofErr w:type="spellEnd"/>
            <w:r w:rsidR="00DE7212" w:rsidRPr="009D0E5A">
              <w:rPr>
                <w:rFonts w:cs="Calibri"/>
                <w:i/>
                <w:sz w:val="16"/>
                <w:szCs w:val="16"/>
                <w:u w:val="single"/>
              </w:rPr>
              <w:t xml:space="preserve"> 1 Dec 12)</w:t>
            </w:r>
          </w:p>
          <w:p w14:paraId="48444D31" w14:textId="77777777" w:rsidR="007E4D40" w:rsidRPr="009D0E5A" w:rsidDel="00217FAA" w:rsidRDefault="007E4D40" w:rsidP="00F61FC0">
            <w:pPr>
              <w:spacing w:after="0" w:line="240" w:lineRule="auto"/>
              <w:rPr>
                <w:rFonts w:cs="Calibri"/>
              </w:rPr>
            </w:pPr>
            <w:r w:rsidRPr="009D0E5A">
              <w:rPr>
                <w:rFonts w:cs="Calibri"/>
              </w:rPr>
              <w:t xml:space="preserve">The EA furnishes the FDW’s employment history </w:t>
            </w:r>
            <w:r w:rsidRPr="009D0E5A">
              <w:rPr>
                <w:rFonts w:cs="Calibri"/>
                <w:u w:val="single"/>
              </w:rPr>
              <w:t>printed from WPOL system</w:t>
            </w:r>
            <w:r w:rsidRPr="009D0E5A">
              <w:rPr>
                <w:rFonts w:cs="Calibri"/>
              </w:rPr>
              <w:t xml:space="preserve"> to potential employers. The EA must ensure that the employer signs against the WPOL printout of the FDW’s latest employment history to acknowledge receipt.</w:t>
            </w:r>
          </w:p>
        </w:tc>
        <w:tc>
          <w:tcPr>
            <w:tcW w:w="850" w:type="dxa"/>
          </w:tcPr>
          <w:p w14:paraId="48444D32" w14:textId="77777777" w:rsidR="007E4D40" w:rsidRPr="00A81B05" w:rsidDel="00217FAA" w:rsidRDefault="007E4D40" w:rsidP="00482DDC">
            <w:pPr>
              <w:spacing w:after="0" w:line="264" w:lineRule="auto"/>
              <w:jc w:val="center"/>
              <w:rPr>
                <w:rFonts w:cs="Calibri"/>
              </w:rPr>
            </w:pPr>
          </w:p>
        </w:tc>
        <w:tc>
          <w:tcPr>
            <w:tcW w:w="850" w:type="dxa"/>
          </w:tcPr>
          <w:p w14:paraId="48444D33" w14:textId="77777777" w:rsidR="007E4D40" w:rsidRPr="00A81B05" w:rsidDel="00217FAA" w:rsidRDefault="007E4D40" w:rsidP="00482DDC">
            <w:pPr>
              <w:spacing w:after="0" w:line="264" w:lineRule="auto"/>
              <w:jc w:val="center"/>
              <w:rPr>
                <w:rFonts w:cs="Calibri"/>
              </w:rPr>
            </w:pPr>
          </w:p>
        </w:tc>
      </w:tr>
      <w:tr w:rsidR="007E4D40" w:rsidRPr="00A81B05" w:rsidDel="00217FAA" w14:paraId="48444D3A" w14:textId="77777777" w:rsidTr="000C7E34">
        <w:tc>
          <w:tcPr>
            <w:tcW w:w="534" w:type="dxa"/>
          </w:tcPr>
          <w:p w14:paraId="48444D35" w14:textId="66CC5740" w:rsidR="007E4D40" w:rsidRPr="009D0E5A" w:rsidDel="00217FAA" w:rsidRDefault="007E4CAF" w:rsidP="00790BBA">
            <w:pPr>
              <w:spacing w:after="0" w:line="264" w:lineRule="auto"/>
              <w:jc w:val="center"/>
              <w:rPr>
                <w:rFonts w:cs="Calibri"/>
              </w:rPr>
            </w:pPr>
            <w:r w:rsidRPr="009D0E5A">
              <w:rPr>
                <w:rFonts w:cs="Calibri"/>
              </w:rPr>
              <w:t>3</w:t>
            </w:r>
            <w:r w:rsidR="002D0BC4" w:rsidRPr="009D0E5A">
              <w:rPr>
                <w:rFonts w:cs="Calibri"/>
              </w:rPr>
              <w:t>3</w:t>
            </w:r>
          </w:p>
        </w:tc>
        <w:tc>
          <w:tcPr>
            <w:tcW w:w="8505" w:type="dxa"/>
          </w:tcPr>
          <w:p w14:paraId="48444D36" w14:textId="77777777" w:rsidR="007E4D40" w:rsidRPr="009D0E5A" w:rsidRDefault="007E4D40" w:rsidP="00782F21">
            <w:pPr>
              <w:spacing w:after="0" w:line="240" w:lineRule="auto"/>
              <w:rPr>
                <w:rFonts w:cs="Calibri"/>
                <w:color w:val="E36C0A" w:themeColor="accent6" w:themeShade="BF"/>
                <w:u w:val="single"/>
              </w:rPr>
            </w:pPr>
            <w:r w:rsidRPr="009D0E5A">
              <w:rPr>
                <w:rFonts w:cs="Calibri"/>
                <w:color w:val="E36C0A" w:themeColor="accent6" w:themeShade="BF"/>
                <w:u w:val="single"/>
              </w:rPr>
              <w:t xml:space="preserve">Requirements during FDW Transfer </w:t>
            </w:r>
          </w:p>
          <w:p w14:paraId="48444D37" w14:textId="77777777" w:rsidR="007E4D40" w:rsidRPr="009D0E5A" w:rsidDel="00217FAA" w:rsidRDefault="007E4D40" w:rsidP="00D6564A">
            <w:pPr>
              <w:spacing w:after="0" w:line="240" w:lineRule="auto"/>
              <w:rPr>
                <w:rFonts w:cs="Calibri"/>
              </w:rPr>
            </w:pPr>
            <w:r w:rsidRPr="009D0E5A">
              <w:rPr>
                <w:rFonts w:cs="Calibri"/>
              </w:rPr>
              <w:t xml:space="preserve">The EA informs the FDW employer of his/her legal responsibilities at the point when he/she returns the FDW to the EA for transfer. </w:t>
            </w:r>
          </w:p>
        </w:tc>
        <w:tc>
          <w:tcPr>
            <w:tcW w:w="850" w:type="dxa"/>
          </w:tcPr>
          <w:p w14:paraId="48444D38" w14:textId="77777777" w:rsidR="007E4D40" w:rsidRPr="00A81B05" w:rsidDel="00217FAA" w:rsidRDefault="007E4D40" w:rsidP="00482DDC">
            <w:pPr>
              <w:spacing w:after="0" w:line="264" w:lineRule="auto"/>
              <w:jc w:val="center"/>
              <w:rPr>
                <w:rFonts w:cs="Calibri"/>
              </w:rPr>
            </w:pPr>
          </w:p>
        </w:tc>
        <w:tc>
          <w:tcPr>
            <w:tcW w:w="850" w:type="dxa"/>
          </w:tcPr>
          <w:p w14:paraId="48444D39" w14:textId="77777777" w:rsidR="007E4D40" w:rsidRPr="00A81B05" w:rsidDel="00217FAA" w:rsidRDefault="007E4D40" w:rsidP="00482DDC">
            <w:pPr>
              <w:spacing w:after="0" w:line="264" w:lineRule="auto"/>
              <w:jc w:val="center"/>
              <w:rPr>
                <w:rFonts w:cs="Calibri"/>
              </w:rPr>
            </w:pPr>
          </w:p>
        </w:tc>
      </w:tr>
      <w:tr w:rsidR="00D6564A" w:rsidRPr="00A81B05" w:rsidDel="00217FAA" w14:paraId="48444D3F" w14:textId="77777777" w:rsidTr="000C7E34">
        <w:tc>
          <w:tcPr>
            <w:tcW w:w="534" w:type="dxa"/>
          </w:tcPr>
          <w:p w14:paraId="48444D3B" w14:textId="0D17A9FC" w:rsidR="00D6564A" w:rsidRPr="009D0E5A" w:rsidRDefault="002D0BC4" w:rsidP="00D6564A">
            <w:pPr>
              <w:spacing w:after="0" w:line="264" w:lineRule="auto"/>
              <w:rPr>
                <w:rFonts w:cs="Calibri"/>
              </w:rPr>
            </w:pPr>
            <w:r w:rsidRPr="009D0E5A">
              <w:rPr>
                <w:rFonts w:cs="Calibri"/>
              </w:rPr>
              <w:t xml:space="preserve"> 34</w:t>
            </w:r>
          </w:p>
        </w:tc>
        <w:tc>
          <w:tcPr>
            <w:tcW w:w="8505" w:type="dxa"/>
          </w:tcPr>
          <w:p w14:paraId="0BB08D65" w14:textId="49A9614A" w:rsidR="00D6564A" w:rsidRDefault="00D6564A" w:rsidP="00782F21">
            <w:pPr>
              <w:spacing w:after="0" w:line="240" w:lineRule="auto"/>
              <w:rPr>
                <w:rFonts w:cs="Calibri"/>
              </w:rPr>
            </w:pPr>
            <w:r w:rsidRPr="009D0E5A">
              <w:rPr>
                <w:rFonts w:cs="Calibri"/>
              </w:rPr>
              <w:t>If after 21 calendar days, the FDW has yet to be transferred, the EA must again remind the original FDW employer of his/her legal responsibilities within 7 days.</w:t>
            </w:r>
          </w:p>
          <w:p w14:paraId="02062EA0" w14:textId="77777777" w:rsidR="000B097C" w:rsidRDefault="000B097C" w:rsidP="00782F21">
            <w:pPr>
              <w:spacing w:after="0" w:line="240" w:lineRule="auto"/>
              <w:rPr>
                <w:rFonts w:cs="Calibri"/>
              </w:rPr>
            </w:pPr>
          </w:p>
          <w:p w14:paraId="48444D3C" w14:textId="4BBC23A7" w:rsidR="009D0E5A" w:rsidRPr="009D0E5A" w:rsidRDefault="009D0E5A" w:rsidP="00782F21">
            <w:pPr>
              <w:spacing w:after="0" w:line="240" w:lineRule="auto"/>
              <w:rPr>
                <w:rFonts w:cs="Calibri"/>
                <w:color w:val="E36C0A" w:themeColor="accent6" w:themeShade="BF"/>
                <w:u w:val="single"/>
              </w:rPr>
            </w:pPr>
          </w:p>
        </w:tc>
        <w:tc>
          <w:tcPr>
            <w:tcW w:w="850" w:type="dxa"/>
          </w:tcPr>
          <w:p w14:paraId="48444D3D" w14:textId="77777777" w:rsidR="00D6564A" w:rsidRPr="00A81B05" w:rsidDel="00217FAA" w:rsidRDefault="00D6564A" w:rsidP="00482DDC">
            <w:pPr>
              <w:spacing w:after="0" w:line="264" w:lineRule="auto"/>
              <w:jc w:val="center"/>
              <w:rPr>
                <w:rFonts w:cs="Calibri"/>
              </w:rPr>
            </w:pPr>
          </w:p>
        </w:tc>
        <w:tc>
          <w:tcPr>
            <w:tcW w:w="850" w:type="dxa"/>
          </w:tcPr>
          <w:p w14:paraId="48444D3E" w14:textId="77777777" w:rsidR="00D6564A" w:rsidRPr="00A81B05" w:rsidDel="00217FAA" w:rsidRDefault="00D6564A" w:rsidP="00482DDC">
            <w:pPr>
              <w:spacing w:after="0" w:line="264" w:lineRule="auto"/>
              <w:jc w:val="center"/>
              <w:rPr>
                <w:rFonts w:cs="Calibri"/>
              </w:rPr>
            </w:pPr>
          </w:p>
        </w:tc>
      </w:tr>
      <w:tr w:rsidR="007E4D40" w:rsidRPr="00A81B05" w:rsidDel="00217FAA" w14:paraId="48444D5B" w14:textId="77777777" w:rsidTr="000C7E34">
        <w:tc>
          <w:tcPr>
            <w:tcW w:w="534" w:type="dxa"/>
          </w:tcPr>
          <w:p w14:paraId="48444D40" w14:textId="20CFD2C9" w:rsidR="007E4D40" w:rsidRPr="009D0E5A" w:rsidDel="00217FAA" w:rsidRDefault="002D0BC4" w:rsidP="00D6564A">
            <w:pPr>
              <w:spacing w:after="0" w:line="264" w:lineRule="auto"/>
              <w:rPr>
                <w:rFonts w:cs="Calibri"/>
              </w:rPr>
            </w:pPr>
            <w:r w:rsidRPr="009D0E5A">
              <w:rPr>
                <w:rFonts w:cs="Calibri"/>
              </w:rPr>
              <w:t xml:space="preserve"> 35</w:t>
            </w:r>
          </w:p>
        </w:tc>
        <w:tc>
          <w:tcPr>
            <w:tcW w:w="8505" w:type="dxa"/>
          </w:tcPr>
          <w:p w14:paraId="48444D41" w14:textId="77777777" w:rsidR="007E4D40" w:rsidRPr="009D0E5A" w:rsidRDefault="007E4D40" w:rsidP="00782F21">
            <w:pPr>
              <w:spacing w:after="0" w:line="240" w:lineRule="auto"/>
              <w:rPr>
                <w:rFonts w:cs="Calibri"/>
                <w:color w:val="E36C0A" w:themeColor="accent6" w:themeShade="BF"/>
                <w:u w:val="single"/>
              </w:rPr>
            </w:pPr>
            <w:r w:rsidRPr="009D0E5A">
              <w:rPr>
                <w:rFonts w:cs="Calibri"/>
                <w:color w:val="E36C0A" w:themeColor="accent6" w:themeShade="BF"/>
                <w:u w:val="single"/>
              </w:rPr>
              <w:t>Service Agreement</w:t>
            </w:r>
          </w:p>
          <w:p w14:paraId="48444D42" w14:textId="77777777" w:rsidR="007E4D40" w:rsidRPr="009D0E5A" w:rsidRDefault="007E4D40" w:rsidP="00782F21">
            <w:pPr>
              <w:spacing w:after="0" w:line="240" w:lineRule="auto"/>
              <w:rPr>
                <w:rFonts w:cs="Calibri"/>
              </w:rPr>
            </w:pPr>
            <w:r w:rsidRPr="009D0E5A">
              <w:rPr>
                <w:rFonts w:cs="Calibri"/>
              </w:rPr>
              <w:t>The EA’s service agreement for FDW employers must state at least the following:</w:t>
            </w:r>
          </w:p>
          <w:p w14:paraId="48444D43" w14:textId="77777777" w:rsidR="007E4D40" w:rsidRPr="009D0E5A" w:rsidRDefault="007E4D40" w:rsidP="00782F21">
            <w:pPr>
              <w:numPr>
                <w:ilvl w:val="0"/>
                <w:numId w:val="2"/>
              </w:numPr>
              <w:spacing w:after="0" w:line="240" w:lineRule="auto"/>
              <w:rPr>
                <w:rFonts w:cs="Calibri"/>
              </w:rPr>
            </w:pPr>
            <w:r w:rsidRPr="009D0E5A">
              <w:rPr>
                <w:rFonts w:cs="Calibri"/>
              </w:rPr>
              <w:t>Validity period of service agreement</w:t>
            </w:r>
          </w:p>
          <w:p w14:paraId="48444D44" w14:textId="77777777" w:rsidR="007E4D40" w:rsidRPr="009D0E5A" w:rsidRDefault="007E4D40" w:rsidP="00782F21">
            <w:pPr>
              <w:numPr>
                <w:ilvl w:val="0"/>
                <w:numId w:val="2"/>
              </w:numPr>
              <w:spacing w:after="0" w:line="240" w:lineRule="auto"/>
              <w:rPr>
                <w:rFonts w:cs="Calibri"/>
              </w:rPr>
            </w:pPr>
            <w:r w:rsidRPr="009D0E5A">
              <w:rPr>
                <w:rFonts w:cs="Calibri"/>
              </w:rPr>
              <w:t>Fees to be paid by applicant</w:t>
            </w:r>
          </w:p>
          <w:p w14:paraId="48444D45" w14:textId="77777777" w:rsidR="007E4D40" w:rsidRPr="009D0E5A" w:rsidRDefault="007E4D40" w:rsidP="00782F21">
            <w:pPr>
              <w:numPr>
                <w:ilvl w:val="0"/>
                <w:numId w:val="2"/>
              </w:numPr>
              <w:spacing w:after="0" w:line="240" w:lineRule="auto"/>
              <w:rPr>
                <w:rFonts w:cs="Calibri"/>
              </w:rPr>
            </w:pPr>
            <w:r w:rsidRPr="009D0E5A">
              <w:rPr>
                <w:rFonts w:cs="Calibri"/>
              </w:rPr>
              <w:t>GST to be paid</w:t>
            </w:r>
          </w:p>
          <w:p w14:paraId="48444D46" w14:textId="77777777" w:rsidR="007E4D40" w:rsidRPr="009D0E5A" w:rsidRDefault="007E4D40" w:rsidP="00782F21">
            <w:pPr>
              <w:numPr>
                <w:ilvl w:val="0"/>
                <w:numId w:val="2"/>
              </w:numPr>
              <w:spacing w:after="0" w:line="240" w:lineRule="auto"/>
              <w:rPr>
                <w:rFonts w:cs="Calibri"/>
              </w:rPr>
            </w:pPr>
            <w:r w:rsidRPr="009D0E5A">
              <w:rPr>
                <w:rFonts w:cs="Calibri"/>
              </w:rPr>
              <w:t>Amount paid upfront for FDW</w:t>
            </w:r>
          </w:p>
          <w:p w14:paraId="48444D47" w14:textId="77777777" w:rsidR="007E4D40" w:rsidRPr="009D0E5A" w:rsidRDefault="007E4D40" w:rsidP="00782F21">
            <w:pPr>
              <w:numPr>
                <w:ilvl w:val="0"/>
                <w:numId w:val="2"/>
              </w:numPr>
              <w:spacing w:after="0" w:line="240" w:lineRule="auto"/>
              <w:rPr>
                <w:rFonts w:cs="Calibri"/>
              </w:rPr>
            </w:pPr>
            <w:r w:rsidRPr="009D0E5A">
              <w:rPr>
                <w:rFonts w:cs="Calibri"/>
              </w:rPr>
              <w:t>Refund of fees if FDW is not placed</w:t>
            </w:r>
          </w:p>
          <w:p w14:paraId="48444D48" w14:textId="77777777" w:rsidR="007E4D40" w:rsidRPr="009D0E5A" w:rsidRDefault="007E4D40" w:rsidP="00782F21">
            <w:pPr>
              <w:numPr>
                <w:ilvl w:val="0"/>
                <w:numId w:val="2"/>
              </w:numPr>
              <w:spacing w:after="0" w:line="240" w:lineRule="auto"/>
              <w:rPr>
                <w:rFonts w:cs="Calibri"/>
              </w:rPr>
            </w:pPr>
            <w:r w:rsidRPr="009D0E5A">
              <w:rPr>
                <w:rFonts w:cs="Calibri"/>
              </w:rPr>
              <w:t>Refund of fees upon termination and request to transfer FDW</w:t>
            </w:r>
          </w:p>
          <w:p w14:paraId="48444D49" w14:textId="77777777" w:rsidR="007E4D40" w:rsidRPr="009D0E5A" w:rsidRDefault="007E4D40" w:rsidP="00782F21">
            <w:pPr>
              <w:numPr>
                <w:ilvl w:val="0"/>
                <w:numId w:val="2"/>
              </w:numPr>
              <w:spacing w:after="0" w:line="240" w:lineRule="auto"/>
              <w:rPr>
                <w:rFonts w:cs="Calibri"/>
              </w:rPr>
            </w:pPr>
            <w:r w:rsidRPr="009D0E5A">
              <w:rPr>
                <w:rFonts w:cs="Calibri"/>
              </w:rPr>
              <w:t>Refund of fees upon termination, with no approval to transfer FDW</w:t>
            </w:r>
          </w:p>
          <w:p w14:paraId="48444D4A" w14:textId="77777777" w:rsidR="007E4D40" w:rsidRPr="009D0E5A" w:rsidRDefault="007E4D40" w:rsidP="00782F21">
            <w:pPr>
              <w:numPr>
                <w:ilvl w:val="0"/>
                <w:numId w:val="2"/>
              </w:numPr>
              <w:spacing w:after="0" w:line="240" w:lineRule="auto"/>
              <w:rPr>
                <w:rFonts w:cs="Calibri"/>
              </w:rPr>
            </w:pPr>
            <w:r w:rsidRPr="009D0E5A">
              <w:rPr>
                <w:rFonts w:cs="Calibri"/>
              </w:rPr>
              <w:t>Refund of fees if replacement FDW is provided</w:t>
            </w:r>
          </w:p>
          <w:p w14:paraId="48444D4B" w14:textId="77777777" w:rsidR="007E4D40" w:rsidRPr="009D0E5A" w:rsidRDefault="007E4D40" w:rsidP="00782F21">
            <w:pPr>
              <w:numPr>
                <w:ilvl w:val="0"/>
                <w:numId w:val="2"/>
              </w:numPr>
              <w:spacing w:after="0" w:line="240" w:lineRule="auto"/>
              <w:rPr>
                <w:rFonts w:cs="Calibri"/>
              </w:rPr>
            </w:pPr>
            <w:r w:rsidRPr="009D0E5A">
              <w:rPr>
                <w:rFonts w:cs="Calibri"/>
              </w:rPr>
              <w:t>Refund of fees if employer opts not to have a replacement FDW</w:t>
            </w:r>
          </w:p>
          <w:p w14:paraId="48444D4C" w14:textId="77777777" w:rsidR="007E4D40" w:rsidRPr="009D0E5A" w:rsidRDefault="007E4D40" w:rsidP="00782F21">
            <w:pPr>
              <w:numPr>
                <w:ilvl w:val="0"/>
                <w:numId w:val="2"/>
              </w:numPr>
              <w:spacing w:after="0" w:line="240" w:lineRule="auto"/>
              <w:rPr>
                <w:rFonts w:cs="Calibri"/>
              </w:rPr>
            </w:pPr>
            <w:r w:rsidRPr="009D0E5A">
              <w:rPr>
                <w:rFonts w:cs="Calibri"/>
              </w:rPr>
              <w:t>Circumstances under which no refund will be given and terms and conditions to be met in order to qualify for a refund</w:t>
            </w:r>
          </w:p>
          <w:p w14:paraId="48444D4D" w14:textId="77777777" w:rsidR="007E4D40" w:rsidRPr="009D0E5A" w:rsidRDefault="007E4D40" w:rsidP="00782F21">
            <w:pPr>
              <w:numPr>
                <w:ilvl w:val="0"/>
                <w:numId w:val="2"/>
              </w:numPr>
              <w:spacing w:after="0" w:line="240" w:lineRule="auto"/>
              <w:rPr>
                <w:rFonts w:cs="Calibri"/>
              </w:rPr>
            </w:pPr>
            <w:r w:rsidRPr="009D0E5A">
              <w:rPr>
                <w:rFonts w:cs="Calibri"/>
              </w:rPr>
              <w:t>Amount payable and timeframe for all refunds</w:t>
            </w:r>
          </w:p>
          <w:p w14:paraId="48444D4E" w14:textId="77777777" w:rsidR="007E4D40" w:rsidRPr="009D0E5A" w:rsidRDefault="007E4D40" w:rsidP="00782F21">
            <w:pPr>
              <w:numPr>
                <w:ilvl w:val="0"/>
                <w:numId w:val="2"/>
              </w:numPr>
              <w:spacing w:after="0" w:line="240" w:lineRule="auto"/>
              <w:rPr>
                <w:rFonts w:cs="Calibri"/>
              </w:rPr>
            </w:pPr>
            <w:r w:rsidRPr="009D0E5A">
              <w:rPr>
                <w:rFonts w:cs="Calibri"/>
              </w:rPr>
              <w:t>Provision of replacement FDW if 1</w:t>
            </w:r>
            <w:r w:rsidRPr="009D0E5A">
              <w:rPr>
                <w:rFonts w:cs="Calibri"/>
                <w:vertAlign w:val="superscript"/>
              </w:rPr>
              <w:t>st</w:t>
            </w:r>
            <w:r w:rsidRPr="009D0E5A">
              <w:rPr>
                <w:rFonts w:cs="Calibri"/>
              </w:rPr>
              <w:t xml:space="preserve"> FDW does not commence employment</w:t>
            </w:r>
          </w:p>
          <w:p w14:paraId="48444D4F" w14:textId="77777777" w:rsidR="007E4D40" w:rsidRPr="009D0E5A" w:rsidRDefault="007E4D40" w:rsidP="00782F21">
            <w:pPr>
              <w:numPr>
                <w:ilvl w:val="0"/>
                <w:numId w:val="2"/>
              </w:numPr>
              <w:spacing w:after="0" w:line="240" w:lineRule="auto"/>
              <w:rPr>
                <w:rFonts w:cs="Calibri"/>
              </w:rPr>
            </w:pPr>
            <w:r w:rsidRPr="009D0E5A">
              <w:rPr>
                <w:rFonts w:cs="Calibri"/>
              </w:rPr>
              <w:t>Provision of replacement FDW if employer requests to transfer 1</w:t>
            </w:r>
            <w:r w:rsidRPr="009D0E5A">
              <w:rPr>
                <w:rFonts w:cs="Calibri"/>
                <w:vertAlign w:val="superscript"/>
              </w:rPr>
              <w:t>st</w:t>
            </w:r>
            <w:r w:rsidRPr="009D0E5A">
              <w:rPr>
                <w:rFonts w:cs="Calibri"/>
              </w:rPr>
              <w:t xml:space="preserve"> FDW</w:t>
            </w:r>
          </w:p>
          <w:p w14:paraId="48444D50" w14:textId="77777777" w:rsidR="007E4D40" w:rsidRPr="009D0E5A" w:rsidRDefault="007E4D40" w:rsidP="00782F21">
            <w:pPr>
              <w:numPr>
                <w:ilvl w:val="0"/>
                <w:numId w:val="2"/>
              </w:numPr>
              <w:spacing w:after="0" w:line="240" w:lineRule="auto"/>
              <w:rPr>
                <w:rFonts w:cs="Calibri"/>
              </w:rPr>
            </w:pPr>
            <w:r w:rsidRPr="009D0E5A">
              <w:rPr>
                <w:rFonts w:cs="Calibri"/>
              </w:rPr>
              <w:t>Provision of replacement FDW if employer requests to repatriate 1</w:t>
            </w:r>
            <w:r w:rsidRPr="009D0E5A">
              <w:rPr>
                <w:rFonts w:cs="Calibri"/>
                <w:vertAlign w:val="superscript"/>
              </w:rPr>
              <w:t>st</w:t>
            </w:r>
            <w:r w:rsidRPr="009D0E5A">
              <w:rPr>
                <w:rFonts w:cs="Calibri"/>
              </w:rPr>
              <w:t xml:space="preserve"> FDW</w:t>
            </w:r>
          </w:p>
          <w:p w14:paraId="48444D51" w14:textId="77777777" w:rsidR="007E4D40" w:rsidRPr="009D0E5A" w:rsidRDefault="007E4D40" w:rsidP="00782F21">
            <w:pPr>
              <w:numPr>
                <w:ilvl w:val="0"/>
                <w:numId w:val="2"/>
              </w:numPr>
              <w:spacing w:after="0" w:line="240" w:lineRule="auto"/>
              <w:rPr>
                <w:rFonts w:cs="Calibri"/>
              </w:rPr>
            </w:pPr>
            <w:r w:rsidRPr="009D0E5A">
              <w:rPr>
                <w:rFonts w:cs="Calibri"/>
              </w:rPr>
              <w:t>Number of replacement FDWs the employer is eligible for</w:t>
            </w:r>
          </w:p>
          <w:p w14:paraId="48444D52" w14:textId="77777777" w:rsidR="007E4D40" w:rsidRPr="009D0E5A" w:rsidRDefault="007E4D40" w:rsidP="00782F21">
            <w:pPr>
              <w:numPr>
                <w:ilvl w:val="0"/>
                <w:numId w:val="2"/>
              </w:numPr>
              <w:spacing w:after="0" w:line="240" w:lineRule="auto"/>
              <w:rPr>
                <w:rFonts w:cs="Calibri"/>
              </w:rPr>
            </w:pPr>
            <w:r w:rsidRPr="009D0E5A">
              <w:rPr>
                <w:rFonts w:cs="Calibri"/>
              </w:rPr>
              <w:t>Timeframe within which a request for a replacement FDW should be made</w:t>
            </w:r>
          </w:p>
          <w:p w14:paraId="48444D53" w14:textId="77777777" w:rsidR="007E4D40" w:rsidRPr="009D0E5A" w:rsidRDefault="007E4D40" w:rsidP="00782F21">
            <w:pPr>
              <w:numPr>
                <w:ilvl w:val="0"/>
                <w:numId w:val="2"/>
              </w:numPr>
              <w:spacing w:after="0" w:line="240" w:lineRule="auto"/>
              <w:rPr>
                <w:rFonts w:cs="Calibri"/>
              </w:rPr>
            </w:pPr>
            <w:r w:rsidRPr="009D0E5A">
              <w:rPr>
                <w:rFonts w:cs="Calibri"/>
              </w:rPr>
              <w:t>Additional fees charged for replacement FDWs</w:t>
            </w:r>
          </w:p>
          <w:p w14:paraId="48444D54" w14:textId="77777777" w:rsidR="007E4D40" w:rsidRPr="009D0E5A" w:rsidRDefault="007E4D40" w:rsidP="00782F21">
            <w:pPr>
              <w:numPr>
                <w:ilvl w:val="0"/>
                <w:numId w:val="2"/>
              </w:numPr>
              <w:spacing w:after="0" w:line="240" w:lineRule="auto"/>
              <w:rPr>
                <w:rFonts w:cs="Calibri"/>
              </w:rPr>
            </w:pPr>
            <w:r w:rsidRPr="009D0E5A">
              <w:rPr>
                <w:rFonts w:cs="Calibri"/>
              </w:rPr>
              <w:t>Circumstances of non-replacement of FDWs and terms and conditions to qualify for a replacement FDW, if any</w:t>
            </w:r>
          </w:p>
          <w:p w14:paraId="48444D55" w14:textId="77777777" w:rsidR="007E4D40" w:rsidRPr="009D0E5A" w:rsidRDefault="007E4D40" w:rsidP="00782F21">
            <w:pPr>
              <w:numPr>
                <w:ilvl w:val="0"/>
                <w:numId w:val="2"/>
              </w:numPr>
              <w:spacing w:after="0" w:line="240" w:lineRule="auto"/>
              <w:rPr>
                <w:rFonts w:cs="Calibri"/>
              </w:rPr>
            </w:pPr>
            <w:r w:rsidRPr="009D0E5A">
              <w:rPr>
                <w:rFonts w:cs="Calibri"/>
              </w:rPr>
              <w:t xml:space="preserve">Recourse available if the EA is unable to provide a replacement FDW within the stipulated timeframe </w:t>
            </w:r>
          </w:p>
          <w:p w14:paraId="48444D56" w14:textId="77777777" w:rsidR="007E4D40" w:rsidRPr="009D0E5A" w:rsidRDefault="007E4D40" w:rsidP="00782F21">
            <w:pPr>
              <w:numPr>
                <w:ilvl w:val="0"/>
                <w:numId w:val="2"/>
              </w:numPr>
              <w:spacing w:after="0" w:line="240" w:lineRule="auto"/>
              <w:rPr>
                <w:rFonts w:cs="Calibri"/>
              </w:rPr>
            </w:pPr>
            <w:r w:rsidRPr="009D0E5A">
              <w:rPr>
                <w:rFonts w:cs="Calibri"/>
              </w:rPr>
              <w:t>Fees and terms and conditions for additional services provided by EA</w:t>
            </w:r>
          </w:p>
          <w:p w14:paraId="48444D57" w14:textId="77777777" w:rsidR="007E4D40" w:rsidRPr="009D0E5A" w:rsidRDefault="007E4D40" w:rsidP="00782F21">
            <w:pPr>
              <w:numPr>
                <w:ilvl w:val="0"/>
                <w:numId w:val="2"/>
              </w:numPr>
              <w:spacing w:after="0" w:line="240" w:lineRule="auto"/>
              <w:rPr>
                <w:rFonts w:cs="Calibri"/>
              </w:rPr>
            </w:pPr>
            <w:r w:rsidRPr="009D0E5A">
              <w:rPr>
                <w:rFonts w:cs="Calibri"/>
              </w:rPr>
              <w:t>Dispute resolution mechanism</w:t>
            </w:r>
            <w:r w:rsidRPr="009D0E5A">
              <w:rPr>
                <w:rFonts w:cs="Calibri"/>
                <w:sz w:val="16"/>
                <w:szCs w:val="16"/>
              </w:rPr>
              <w:t xml:space="preserve"> </w:t>
            </w:r>
            <w:r w:rsidRPr="009D0E5A">
              <w:rPr>
                <w:rFonts w:cs="Calibri"/>
              </w:rPr>
              <w:t>(ensure independent 3</w:t>
            </w:r>
            <w:r w:rsidRPr="009D0E5A">
              <w:rPr>
                <w:rFonts w:cs="Calibri"/>
                <w:vertAlign w:val="superscript"/>
              </w:rPr>
              <w:t>rd</w:t>
            </w:r>
            <w:r w:rsidRPr="009D0E5A">
              <w:rPr>
                <w:rFonts w:cs="Calibri"/>
              </w:rPr>
              <w:t xml:space="preserve"> party is stated, that the 3</w:t>
            </w:r>
            <w:r w:rsidRPr="009D0E5A">
              <w:rPr>
                <w:rFonts w:cs="Calibri"/>
                <w:vertAlign w:val="superscript"/>
              </w:rPr>
              <w:t>rd</w:t>
            </w:r>
            <w:r w:rsidRPr="009D0E5A">
              <w:rPr>
                <w:rFonts w:cs="Calibri"/>
              </w:rPr>
              <w:t xml:space="preserve"> party provides mediation services, and that the EA meets all necessary conditions to be able to use these services.)</w:t>
            </w:r>
          </w:p>
          <w:p w14:paraId="48444D58" w14:textId="77777777" w:rsidR="007E4D40" w:rsidRPr="009D0E5A" w:rsidDel="00217FAA" w:rsidRDefault="007E4D40" w:rsidP="00F61FC0">
            <w:pPr>
              <w:spacing w:after="0" w:line="240" w:lineRule="auto"/>
              <w:rPr>
                <w:rFonts w:cs="Calibri"/>
              </w:rPr>
            </w:pPr>
          </w:p>
        </w:tc>
        <w:tc>
          <w:tcPr>
            <w:tcW w:w="850" w:type="dxa"/>
          </w:tcPr>
          <w:p w14:paraId="48444D59" w14:textId="77777777" w:rsidR="007E4D40" w:rsidRPr="00A81B05" w:rsidDel="00217FAA" w:rsidRDefault="007E4D40" w:rsidP="00482DDC">
            <w:pPr>
              <w:spacing w:after="0" w:line="264" w:lineRule="auto"/>
              <w:jc w:val="center"/>
              <w:rPr>
                <w:rFonts w:cs="Calibri"/>
              </w:rPr>
            </w:pPr>
          </w:p>
        </w:tc>
        <w:tc>
          <w:tcPr>
            <w:tcW w:w="850" w:type="dxa"/>
          </w:tcPr>
          <w:p w14:paraId="48444D5A" w14:textId="77777777" w:rsidR="007E4D40" w:rsidRPr="00A81B05" w:rsidDel="00217FAA" w:rsidRDefault="007E4D40" w:rsidP="00482DDC">
            <w:pPr>
              <w:spacing w:after="0" w:line="264" w:lineRule="auto"/>
              <w:jc w:val="center"/>
              <w:rPr>
                <w:rFonts w:cs="Calibri"/>
              </w:rPr>
            </w:pPr>
          </w:p>
        </w:tc>
      </w:tr>
    </w:tbl>
    <w:p w14:paraId="48444D5C" w14:textId="77777777" w:rsidR="00E06E9F" w:rsidRDefault="00E06E9F" w:rsidP="00E06E9F">
      <w:pPr>
        <w:spacing w:line="240" w:lineRule="auto"/>
        <w:contextualSpacing/>
        <w:rPr>
          <w:rFonts w:cs="Calibri"/>
        </w:rPr>
      </w:pPr>
    </w:p>
    <w:p w14:paraId="1F0A97E3" w14:textId="42376254" w:rsidR="000B097C" w:rsidRDefault="00A81B05">
      <w:pPr>
        <w:rPr>
          <w:rStyle w:val="Hyperlink"/>
          <w:rFonts w:cs="Calibri"/>
        </w:rPr>
      </w:pPr>
      <w:r w:rsidRPr="00A81B05">
        <w:rPr>
          <w:rFonts w:cs="Calibri"/>
        </w:rPr>
        <w:t>For more i</w:t>
      </w:r>
      <w:r w:rsidR="007D3882">
        <w:rPr>
          <w:rFonts w:cs="Calibri"/>
        </w:rPr>
        <w:t xml:space="preserve">nformation, you can </w:t>
      </w:r>
      <w:r w:rsidR="00325E55">
        <w:rPr>
          <w:rFonts w:cs="Calibri"/>
        </w:rPr>
        <w:t>visit our MOM website at</w:t>
      </w:r>
      <w:r w:rsidRPr="00A81B05">
        <w:rPr>
          <w:rFonts w:cs="Calibri"/>
        </w:rPr>
        <w:t xml:space="preserve"> the following </w:t>
      </w:r>
      <w:r w:rsidR="00325E55">
        <w:rPr>
          <w:rFonts w:cs="Calibri"/>
        </w:rPr>
        <w:t>link</w:t>
      </w:r>
      <w:r w:rsidRPr="00A81B05">
        <w:rPr>
          <w:rFonts w:cs="Calibri"/>
        </w:rPr>
        <w:t xml:space="preserve">: </w:t>
      </w:r>
      <w:hyperlink r:id="rId9" w:history="1">
        <w:r w:rsidR="000B097C" w:rsidRPr="00704657">
          <w:rPr>
            <w:rStyle w:val="Hyperlink"/>
            <w:rFonts w:cs="Calibri"/>
          </w:rPr>
          <w:t>http://www.mom.gov.sg/employment-agencies</w:t>
        </w:r>
      </w:hyperlink>
    </w:p>
    <w:p w14:paraId="61C3FED1" w14:textId="371381A7" w:rsidR="000B097C" w:rsidRDefault="000B097C">
      <w:pPr>
        <w:rPr>
          <w:rStyle w:val="Hyperlink"/>
          <w:rFonts w:cs="Calibri"/>
        </w:rPr>
      </w:pPr>
    </w:p>
    <w:p w14:paraId="0261A276" w14:textId="76A24495" w:rsidR="000B097C" w:rsidRDefault="000B097C">
      <w:pPr>
        <w:rPr>
          <w:rStyle w:val="Hyperlink"/>
          <w:rFonts w:cs="Calibri"/>
        </w:rPr>
      </w:pPr>
    </w:p>
    <w:p w14:paraId="4A2DFF6B" w14:textId="61AC7D04" w:rsidR="000B097C" w:rsidRDefault="000B097C">
      <w:pPr>
        <w:rPr>
          <w:rStyle w:val="Hyperlink"/>
          <w:rFonts w:cs="Calibri"/>
        </w:rPr>
      </w:pPr>
    </w:p>
    <w:p w14:paraId="3144F7CB" w14:textId="3DE2EB75" w:rsidR="000B097C" w:rsidRDefault="000B097C">
      <w:pPr>
        <w:rPr>
          <w:rStyle w:val="Hyperlink"/>
          <w:rFonts w:cs="Calibri"/>
        </w:rPr>
      </w:pPr>
    </w:p>
    <w:p w14:paraId="456FB0A2" w14:textId="68D81B7A" w:rsidR="000B097C" w:rsidRDefault="000B097C">
      <w:pPr>
        <w:rPr>
          <w:rStyle w:val="Hyperlink"/>
          <w:rFonts w:cs="Calibri"/>
        </w:rPr>
      </w:pPr>
    </w:p>
    <w:p w14:paraId="45A3155A" w14:textId="1C76E51B" w:rsidR="000B097C" w:rsidRDefault="000B097C">
      <w:pPr>
        <w:rPr>
          <w:rStyle w:val="Hyperlink"/>
          <w:rFonts w:cs="Calibri"/>
        </w:rPr>
      </w:pPr>
    </w:p>
    <w:p w14:paraId="183FF442" w14:textId="688A4B56" w:rsidR="000B097C" w:rsidRDefault="000B097C">
      <w:pPr>
        <w:rPr>
          <w:rStyle w:val="Hyperlink"/>
          <w:rFonts w:cs="Calibri"/>
        </w:rPr>
      </w:pPr>
    </w:p>
    <w:p w14:paraId="1C790766" w14:textId="6A1D8FC5" w:rsidR="000B097C" w:rsidRDefault="000B097C">
      <w:pPr>
        <w:rPr>
          <w:rStyle w:val="Hyperlink"/>
          <w:rFonts w:cs="Calibri"/>
        </w:rPr>
      </w:pPr>
    </w:p>
    <w:p w14:paraId="0A17454B" w14:textId="77777777" w:rsidR="009C0142" w:rsidRDefault="009C0142" w:rsidP="000B097C">
      <w:pPr>
        <w:rPr>
          <w:rFonts w:cs="Calibri"/>
        </w:rPr>
      </w:pPr>
    </w:p>
    <w:p w14:paraId="48444D61" w14:textId="4CCDB14A" w:rsidR="00C71B88" w:rsidRDefault="00C909CF" w:rsidP="000B097C">
      <w:r>
        <w:rPr>
          <w:rFonts w:cs="Calibri"/>
        </w:rPr>
        <w:t>Please refer to the diagram below depicting regulations governing the EA Registration Card:</w:t>
      </w:r>
      <w:r w:rsidR="00A94C7B">
        <w:rPr>
          <w:noProof/>
          <w:lang w:val="en-SG" w:eastAsia="zh-CN"/>
        </w:rPr>
        <w:drawing>
          <wp:inline distT="0" distB="0" distL="0" distR="0" wp14:anchorId="48444D65" wp14:editId="48444D66">
            <wp:extent cx="6858828" cy="2763078"/>
            <wp:effectExtent l="19050" t="0" r="0" b="0"/>
            <wp:docPr id="10" name="Picture 7" descr="C:\Users\momqwc\Documents\Reg 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mqwc\Documents\Reg Card.gif"/>
                    <pic:cNvPicPr>
                      <a:picLocks noChangeAspect="1" noChangeArrowheads="1"/>
                    </pic:cNvPicPr>
                  </pic:nvPicPr>
                  <pic:blipFill>
                    <a:blip r:embed="rId10" cstate="print"/>
                    <a:srcRect t="22680" b="23583"/>
                    <a:stretch>
                      <a:fillRect/>
                    </a:stretch>
                  </pic:blipFill>
                  <pic:spPr bwMode="auto">
                    <a:xfrm>
                      <a:off x="0" y="0"/>
                      <a:ext cx="6858828" cy="2763078"/>
                    </a:xfrm>
                    <a:prstGeom prst="rect">
                      <a:avLst/>
                    </a:prstGeom>
                    <a:noFill/>
                    <a:ln w="9525">
                      <a:noFill/>
                      <a:miter lim="800000"/>
                      <a:headEnd/>
                      <a:tailEnd/>
                    </a:ln>
                  </pic:spPr>
                </pic:pic>
              </a:graphicData>
            </a:graphic>
          </wp:inline>
        </w:drawing>
      </w:r>
    </w:p>
    <w:p w14:paraId="48444D62" w14:textId="1580B385" w:rsidR="00522648" w:rsidRDefault="00A9778D" w:rsidP="00A9778D">
      <w:pPr>
        <w:pStyle w:val="Caption"/>
        <w:rPr>
          <w:rFonts w:cs="Calibri"/>
        </w:rPr>
      </w:pPr>
      <w:r>
        <w:t xml:space="preserve">+ Kindly refer to the schedule of </w:t>
      </w:r>
      <w:r w:rsidRPr="00A9778D">
        <w:rPr>
          <w:u w:val="single"/>
        </w:rPr>
        <w:t>Employment Agencies Rules 2011</w:t>
      </w:r>
      <w:r>
        <w:t xml:space="preserve"> for full specifications</w:t>
      </w:r>
      <w:r w:rsidR="009D0E5A">
        <w:t>.</w:t>
      </w:r>
    </w:p>
    <w:sectPr w:rsidR="00522648" w:rsidSect="001254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2831" w14:textId="77777777" w:rsidR="00997014" w:rsidRDefault="00997014" w:rsidP="00997014">
      <w:pPr>
        <w:spacing w:after="0" w:line="240" w:lineRule="auto"/>
      </w:pPr>
      <w:r>
        <w:separator/>
      </w:r>
    </w:p>
  </w:endnote>
  <w:endnote w:type="continuationSeparator" w:id="0">
    <w:p w14:paraId="38E9B530" w14:textId="77777777" w:rsidR="00997014" w:rsidRDefault="00997014" w:rsidP="009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375C" w14:textId="77777777" w:rsidR="00AE5609" w:rsidRDefault="00AE5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3DC2" w14:textId="77777777" w:rsidR="00AE5609" w:rsidRDefault="00AE5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5826" w14:textId="77777777" w:rsidR="00AE5609" w:rsidRDefault="00AE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DC1B8" w14:textId="77777777" w:rsidR="00997014" w:rsidRDefault="00997014" w:rsidP="00997014">
      <w:pPr>
        <w:spacing w:after="0" w:line="240" w:lineRule="auto"/>
      </w:pPr>
      <w:r>
        <w:separator/>
      </w:r>
    </w:p>
  </w:footnote>
  <w:footnote w:type="continuationSeparator" w:id="0">
    <w:p w14:paraId="1644C6CE" w14:textId="77777777" w:rsidR="00997014" w:rsidRDefault="00997014" w:rsidP="009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B5EC" w14:textId="77777777" w:rsidR="00AE5609" w:rsidRDefault="00AE5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3FD2" w14:textId="77777777" w:rsidR="00AE5609" w:rsidRDefault="00AE5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ED4F" w14:textId="77777777" w:rsidR="00AE5609" w:rsidRDefault="00AE5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5A4C"/>
    <w:multiLevelType w:val="hybridMultilevel"/>
    <w:tmpl w:val="C988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71B79"/>
    <w:multiLevelType w:val="hybridMultilevel"/>
    <w:tmpl w:val="480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B028A"/>
    <w:multiLevelType w:val="hybridMultilevel"/>
    <w:tmpl w:val="93548A2E"/>
    <w:lvl w:ilvl="0" w:tplc="690C80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83912"/>
    <w:multiLevelType w:val="hybridMultilevel"/>
    <w:tmpl w:val="0548D67C"/>
    <w:lvl w:ilvl="0" w:tplc="01F0D386">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E6"/>
    <w:rsid w:val="00025BB6"/>
    <w:rsid w:val="0003066C"/>
    <w:rsid w:val="000802F2"/>
    <w:rsid w:val="000958B5"/>
    <w:rsid w:val="000959AF"/>
    <w:rsid w:val="000B097C"/>
    <w:rsid w:val="000C7E34"/>
    <w:rsid w:val="000D0061"/>
    <w:rsid w:val="000F0BBF"/>
    <w:rsid w:val="000F0D0A"/>
    <w:rsid w:val="001061C9"/>
    <w:rsid w:val="00111872"/>
    <w:rsid w:val="00116D77"/>
    <w:rsid w:val="00116EFC"/>
    <w:rsid w:val="0012549E"/>
    <w:rsid w:val="00143E6E"/>
    <w:rsid w:val="0016050B"/>
    <w:rsid w:val="001632BE"/>
    <w:rsid w:val="00164648"/>
    <w:rsid w:val="00177981"/>
    <w:rsid w:val="00190E4A"/>
    <w:rsid w:val="00192CD9"/>
    <w:rsid w:val="001C1E01"/>
    <w:rsid w:val="00210D6A"/>
    <w:rsid w:val="00211689"/>
    <w:rsid w:val="00217FAA"/>
    <w:rsid w:val="00236E4B"/>
    <w:rsid w:val="00291B88"/>
    <w:rsid w:val="002A11A2"/>
    <w:rsid w:val="002D0BC4"/>
    <w:rsid w:val="00325E55"/>
    <w:rsid w:val="003300DA"/>
    <w:rsid w:val="00354676"/>
    <w:rsid w:val="00355373"/>
    <w:rsid w:val="00367715"/>
    <w:rsid w:val="00374349"/>
    <w:rsid w:val="00395074"/>
    <w:rsid w:val="003A6F20"/>
    <w:rsid w:val="003B0C75"/>
    <w:rsid w:val="003B1741"/>
    <w:rsid w:val="003D2BE4"/>
    <w:rsid w:val="003D2F59"/>
    <w:rsid w:val="003F41E9"/>
    <w:rsid w:val="0040127F"/>
    <w:rsid w:val="004208CE"/>
    <w:rsid w:val="0043712F"/>
    <w:rsid w:val="0044476E"/>
    <w:rsid w:val="00482DDC"/>
    <w:rsid w:val="004A367C"/>
    <w:rsid w:val="004B4527"/>
    <w:rsid w:val="004E198E"/>
    <w:rsid w:val="004F09EF"/>
    <w:rsid w:val="004F3B4F"/>
    <w:rsid w:val="00522648"/>
    <w:rsid w:val="005257E7"/>
    <w:rsid w:val="005326F2"/>
    <w:rsid w:val="00556F0D"/>
    <w:rsid w:val="00585477"/>
    <w:rsid w:val="005A60C9"/>
    <w:rsid w:val="005D06E3"/>
    <w:rsid w:val="005E65EB"/>
    <w:rsid w:val="006045B8"/>
    <w:rsid w:val="00605EF8"/>
    <w:rsid w:val="006325C1"/>
    <w:rsid w:val="00645981"/>
    <w:rsid w:val="00646EFC"/>
    <w:rsid w:val="00650784"/>
    <w:rsid w:val="006600F6"/>
    <w:rsid w:val="00663D3F"/>
    <w:rsid w:val="0067688F"/>
    <w:rsid w:val="006B053C"/>
    <w:rsid w:val="006B0FA0"/>
    <w:rsid w:val="006B3DB4"/>
    <w:rsid w:val="006C3F69"/>
    <w:rsid w:val="006C53A6"/>
    <w:rsid w:val="006C6143"/>
    <w:rsid w:val="006E484B"/>
    <w:rsid w:val="007056BF"/>
    <w:rsid w:val="007057DF"/>
    <w:rsid w:val="00714592"/>
    <w:rsid w:val="00730211"/>
    <w:rsid w:val="0073042C"/>
    <w:rsid w:val="00730473"/>
    <w:rsid w:val="00743648"/>
    <w:rsid w:val="0076108E"/>
    <w:rsid w:val="0077346E"/>
    <w:rsid w:val="007831B0"/>
    <w:rsid w:val="007846CF"/>
    <w:rsid w:val="00790BBA"/>
    <w:rsid w:val="007A511B"/>
    <w:rsid w:val="007B570F"/>
    <w:rsid w:val="007C1BBC"/>
    <w:rsid w:val="007D3882"/>
    <w:rsid w:val="007E4CAF"/>
    <w:rsid w:val="007E4D40"/>
    <w:rsid w:val="00805440"/>
    <w:rsid w:val="0083198A"/>
    <w:rsid w:val="0083448A"/>
    <w:rsid w:val="00897A26"/>
    <w:rsid w:val="008B0E68"/>
    <w:rsid w:val="008B5C2E"/>
    <w:rsid w:val="008B65B5"/>
    <w:rsid w:val="008C0D8D"/>
    <w:rsid w:val="008C17E1"/>
    <w:rsid w:val="008E2FDB"/>
    <w:rsid w:val="008F21FC"/>
    <w:rsid w:val="009000C9"/>
    <w:rsid w:val="00961D71"/>
    <w:rsid w:val="0097463E"/>
    <w:rsid w:val="009801D3"/>
    <w:rsid w:val="00997014"/>
    <w:rsid w:val="009C0142"/>
    <w:rsid w:val="009D0E5A"/>
    <w:rsid w:val="009F45BE"/>
    <w:rsid w:val="00A01AD4"/>
    <w:rsid w:val="00A15A0F"/>
    <w:rsid w:val="00A17D3B"/>
    <w:rsid w:val="00A4188D"/>
    <w:rsid w:val="00A43CD6"/>
    <w:rsid w:val="00A507D8"/>
    <w:rsid w:val="00A53D53"/>
    <w:rsid w:val="00A715F1"/>
    <w:rsid w:val="00A773AC"/>
    <w:rsid w:val="00A81B05"/>
    <w:rsid w:val="00A84E69"/>
    <w:rsid w:val="00A87800"/>
    <w:rsid w:val="00A94C7B"/>
    <w:rsid w:val="00A9778D"/>
    <w:rsid w:val="00AB5DA7"/>
    <w:rsid w:val="00AE3725"/>
    <w:rsid w:val="00AE5609"/>
    <w:rsid w:val="00B02A61"/>
    <w:rsid w:val="00B538FF"/>
    <w:rsid w:val="00B76AA2"/>
    <w:rsid w:val="00B95FE0"/>
    <w:rsid w:val="00BC183B"/>
    <w:rsid w:val="00BF75AB"/>
    <w:rsid w:val="00C00DD5"/>
    <w:rsid w:val="00C11CF5"/>
    <w:rsid w:val="00C233C5"/>
    <w:rsid w:val="00C251FA"/>
    <w:rsid w:val="00C26D89"/>
    <w:rsid w:val="00C34BE8"/>
    <w:rsid w:val="00C71B88"/>
    <w:rsid w:val="00C87D58"/>
    <w:rsid w:val="00C909CF"/>
    <w:rsid w:val="00C93348"/>
    <w:rsid w:val="00C964CA"/>
    <w:rsid w:val="00CD233A"/>
    <w:rsid w:val="00CE58E1"/>
    <w:rsid w:val="00CF5783"/>
    <w:rsid w:val="00CF6F1B"/>
    <w:rsid w:val="00D07B24"/>
    <w:rsid w:val="00D35959"/>
    <w:rsid w:val="00D5230B"/>
    <w:rsid w:val="00D6564A"/>
    <w:rsid w:val="00D70004"/>
    <w:rsid w:val="00D82A86"/>
    <w:rsid w:val="00D86C9A"/>
    <w:rsid w:val="00DE18C6"/>
    <w:rsid w:val="00DE7212"/>
    <w:rsid w:val="00E06E9F"/>
    <w:rsid w:val="00E27016"/>
    <w:rsid w:val="00E4593E"/>
    <w:rsid w:val="00E74019"/>
    <w:rsid w:val="00E81C71"/>
    <w:rsid w:val="00EA0F98"/>
    <w:rsid w:val="00EB63E6"/>
    <w:rsid w:val="00ED662E"/>
    <w:rsid w:val="00ED75F4"/>
    <w:rsid w:val="00EE2151"/>
    <w:rsid w:val="00EE6A9F"/>
    <w:rsid w:val="00EF1051"/>
    <w:rsid w:val="00F14BDC"/>
    <w:rsid w:val="00F30985"/>
    <w:rsid w:val="00F31824"/>
    <w:rsid w:val="00F50E58"/>
    <w:rsid w:val="00F536E8"/>
    <w:rsid w:val="00F61FC0"/>
    <w:rsid w:val="00F7460C"/>
    <w:rsid w:val="00F74C4E"/>
    <w:rsid w:val="00F94647"/>
    <w:rsid w:val="00FD49F8"/>
    <w:rsid w:val="00FE224C"/>
    <w:rsid w:val="00FF65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6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211"/>
    <w:pPr>
      <w:ind w:left="720"/>
    </w:pPr>
  </w:style>
  <w:style w:type="character" w:styleId="Hyperlink">
    <w:name w:val="Hyperlink"/>
    <w:basedOn w:val="DefaultParagraphFont"/>
    <w:uiPriority w:val="99"/>
    <w:unhideWhenUsed/>
    <w:rsid w:val="00A81B05"/>
    <w:rPr>
      <w:color w:val="0000FF"/>
      <w:u w:val="single"/>
    </w:rPr>
  </w:style>
  <w:style w:type="paragraph" w:styleId="BalloonText">
    <w:name w:val="Balloon Text"/>
    <w:basedOn w:val="Normal"/>
    <w:link w:val="BalloonTextChar"/>
    <w:uiPriority w:val="99"/>
    <w:semiHidden/>
    <w:unhideWhenUsed/>
    <w:rsid w:val="0074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4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045B8"/>
    <w:rPr>
      <w:sz w:val="16"/>
      <w:szCs w:val="16"/>
    </w:rPr>
  </w:style>
  <w:style w:type="paragraph" w:styleId="CommentText">
    <w:name w:val="annotation text"/>
    <w:basedOn w:val="Normal"/>
    <w:link w:val="CommentTextChar"/>
    <w:uiPriority w:val="99"/>
    <w:semiHidden/>
    <w:unhideWhenUsed/>
    <w:rsid w:val="006045B8"/>
    <w:rPr>
      <w:sz w:val="20"/>
      <w:szCs w:val="20"/>
    </w:rPr>
  </w:style>
  <w:style w:type="character" w:customStyle="1" w:styleId="CommentTextChar">
    <w:name w:val="Comment Text Char"/>
    <w:basedOn w:val="DefaultParagraphFont"/>
    <w:link w:val="CommentText"/>
    <w:uiPriority w:val="99"/>
    <w:semiHidden/>
    <w:rsid w:val="006045B8"/>
    <w:rPr>
      <w:lang w:val="en-US" w:eastAsia="en-US"/>
    </w:rPr>
  </w:style>
  <w:style w:type="paragraph" w:styleId="CommentSubject">
    <w:name w:val="annotation subject"/>
    <w:basedOn w:val="CommentText"/>
    <w:next w:val="CommentText"/>
    <w:link w:val="CommentSubjectChar"/>
    <w:uiPriority w:val="99"/>
    <w:semiHidden/>
    <w:unhideWhenUsed/>
    <w:rsid w:val="006045B8"/>
    <w:rPr>
      <w:b/>
      <w:bCs/>
    </w:rPr>
  </w:style>
  <w:style w:type="character" w:customStyle="1" w:styleId="CommentSubjectChar">
    <w:name w:val="Comment Subject Char"/>
    <w:basedOn w:val="CommentTextChar"/>
    <w:link w:val="CommentSubject"/>
    <w:uiPriority w:val="99"/>
    <w:semiHidden/>
    <w:rsid w:val="006045B8"/>
    <w:rPr>
      <w:b/>
      <w:bCs/>
      <w:lang w:val="en-US" w:eastAsia="en-US"/>
    </w:rPr>
  </w:style>
  <w:style w:type="paragraph" w:styleId="Caption">
    <w:name w:val="caption"/>
    <w:basedOn w:val="Normal"/>
    <w:next w:val="Normal"/>
    <w:uiPriority w:val="35"/>
    <w:unhideWhenUsed/>
    <w:qFormat/>
    <w:rsid w:val="00C964CA"/>
    <w:pPr>
      <w:spacing w:line="240" w:lineRule="auto"/>
    </w:pPr>
    <w:rPr>
      <w:b/>
      <w:bCs/>
      <w:color w:val="4F81BD" w:themeColor="accent1"/>
      <w:sz w:val="18"/>
      <w:szCs w:val="18"/>
    </w:rPr>
  </w:style>
  <w:style w:type="paragraph" w:styleId="Revision">
    <w:name w:val="Revision"/>
    <w:hidden/>
    <w:uiPriority w:val="99"/>
    <w:semiHidden/>
    <w:rsid w:val="001632BE"/>
    <w:rPr>
      <w:sz w:val="22"/>
      <w:szCs w:val="22"/>
      <w:lang w:val="en-US" w:eastAsia="en-US"/>
    </w:rPr>
  </w:style>
  <w:style w:type="paragraph" w:styleId="Header">
    <w:name w:val="header"/>
    <w:basedOn w:val="Normal"/>
    <w:link w:val="HeaderChar"/>
    <w:uiPriority w:val="99"/>
    <w:unhideWhenUsed/>
    <w:rsid w:val="00997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14"/>
    <w:rPr>
      <w:sz w:val="22"/>
      <w:szCs w:val="22"/>
      <w:lang w:val="en-US" w:eastAsia="en-US"/>
    </w:rPr>
  </w:style>
  <w:style w:type="paragraph" w:styleId="Footer">
    <w:name w:val="footer"/>
    <w:basedOn w:val="Normal"/>
    <w:link w:val="FooterChar"/>
    <w:uiPriority w:val="99"/>
    <w:unhideWhenUsed/>
    <w:rsid w:val="00997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01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77469">
      <w:bodyDiv w:val="1"/>
      <w:marLeft w:val="0"/>
      <w:marRight w:val="0"/>
      <w:marTop w:val="0"/>
      <w:marBottom w:val="0"/>
      <w:divBdr>
        <w:top w:val="none" w:sz="0" w:space="0" w:color="auto"/>
        <w:left w:val="none" w:sz="0" w:space="0" w:color="auto"/>
        <w:bottom w:val="none" w:sz="0" w:space="0" w:color="auto"/>
        <w:right w:val="none" w:sz="0" w:space="0" w:color="auto"/>
      </w:divBdr>
      <w:divsChild>
        <w:div w:id="1320303315">
          <w:marLeft w:val="274"/>
          <w:marRight w:val="0"/>
          <w:marTop w:val="77"/>
          <w:marBottom w:val="0"/>
          <w:divBdr>
            <w:top w:val="none" w:sz="0" w:space="0" w:color="auto"/>
            <w:left w:val="none" w:sz="0" w:space="0" w:color="auto"/>
            <w:bottom w:val="none" w:sz="0" w:space="0" w:color="auto"/>
            <w:right w:val="none" w:sz="0" w:space="0" w:color="auto"/>
          </w:divBdr>
        </w:div>
      </w:divsChild>
    </w:div>
    <w:div w:id="1325355319">
      <w:bodyDiv w:val="1"/>
      <w:marLeft w:val="0"/>
      <w:marRight w:val="0"/>
      <w:marTop w:val="0"/>
      <w:marBottom w:val="0"/>
      <w:divBdr>
        <w:top w:val="none" w:sz="0" w:space="0" w:color="auto"/>
        <w:left w:val="none" w:sz="0" w:space="0" w:color="auto"/>
        <w:bottom w:val="none" w:sz="0" w:space="0" w:color="auto"/>
        <w:right w:val="none" w:sz="0" w:space="0" w:color="auto"/>
      </w:divBdr>
    </w:div>
    <w:div w:id="13857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gov.sg/for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om.gov.sg/employment-agen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8C66-4CF1-4543-B989-12D92DC1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2019-02-14T09:03:00Z</dcterms:created>
  <dcterms:modified xsi:type="dcterms:W3CDTF">2019-02-14T09:04:00Z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