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0077E6" w14:textId="28D08B11" w:rsidR="003A6F20" w:rsidRDefault="00AE2CAD" w:rsidP="00482DDC">
      <w:pPr>
        <w:spacing w:after="0" w:line="240" w:lineRule="auto"/>
        <w:rPr>
          <w:rFonts w:cs="Calibri"/>
          <w:b/>
          <w:sz w:val="32"/>
        </w:rPr>
      </w:pPr>
      <w:r>
        <w:rPr>
          <w:rFonts w:cs="Calibri"/>
          <w:b/>
          <w:noProof/>
          <w:sz w:val="32"/>
          <w:lang w:val="en-SG" w:eastAsia="zh-CN"/>
        </w:rPr>
        <mc:AlternateContent>
          <mc:Choice Requires="wps">
            <w:drawing>
              <wp:anchor distT="0" distB="0" distL="114300" distR="114300" simplePos="0" relativeHeight="251657728" behindDoc="0" locked="0" layoutInCell="1" allowOverlap="1" wp14:anchorId="1600785A" wp14:editId="7E6FF9D6">
                <wp:simplePos x="0" y="0"/>
                <wp:positionH relativeFrom="column">
                  <wp:posOffset>5466080</wp:posOffset>
                </wp:positionH>
                <wp:positionV relativeFrom="paragraph">
                  <wp:posOffset>51435</wp:posOffset>
                </wp:positionV>
                <wp:extent cx="1414145" cy="26733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785D" w14:textId="416C199F" w:rsidR="006C6143" w:rsidRPr="0012549E" w:rsidRDefault="00160200" w:rsidP="006C6143">
                            <w:pPr>
                              <w:jc w:val="right"/>
                              <w:rPr>
                                <w:sz w:val="16"/>
                                <w:szCs w:val="16"/>
                              </w:rPr>
                            </w:pPr>
                            <w:r>
                              <w:rPr>
                                <w:sz w:val="16"/>
                                <w:szCs w:val="16"/>
                              </w:rPr>
                              <w:t>REF: SACT09</w:t>
                            </w:r>
                            <w:r w:rsidR="003A6F20" w:rsidRPr="0012549E">
                              <w:rPr>
                                <w:sz w:val="16"/>
                                <w:szCs w:val="16"/>
                              </w:rPr>
                              <w:t>/201</w:t>
                            </w:r>
                            <w:r>
                              <w:rPr>
                                <w:sz w:val="16"/>
                                <w:szCs w:val="16"/>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785A" id="_x0000_t202" coordsize="21600,21600" o:spt="202" path="m,l,21600r21600,l21600,xe">
                <v:stroke joinstyle="miter"/>
                <v:path gradientshapeok="t" o:connecttype="rect"/>
              </v:shapetype>
              <v:shape id="Text Box 2" o:spid="_x0000_s1026" type="#_x0000_t202" style="position:absolute;margin-left:430.4pt;margin-top:4.05pt;width:111.3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" filled="f" stroked="f">
                <v:textbox>
                  <w:txbxContent>
                    <w:p w14:paraId="1600785D" w14:textId="416C199F" w:rsidR="006C6143" w:rsidRPr="0012549E" w:rsidRDefault="00160200" w:rsidP="006C6143">
                      <w:pPr>
                        <w:jc w:val="right"/>
                        <w:rPr>
                          <w:sz w:val="16"/>
                          <w:szCs w:val="16"/>
                        </w:rPr>
                      </w:pPr>
                      <w:r>
                        <w:rPr>
                          <w:sz w:val="16"/>
                          <w:szCs w:val="16"/>
                        </w:rPr>
                        <w:t>REF: SACT09</w:t>
                      </w:r>
                      <w:r w:rsidR="003A6F20" w:rsidRPr="0012549E">
                        <w:rPr>
                          <w:sz w:val="16"/>
                          <w:szCs w:val="16"/>
                        </w:rPr>
                        <w:t>/201</w:t>
                      </w:r>
                      <w:r>
                        <w:rPr>
                          <w:sz w:val="16"/>
                          <w:szCs w:val="16"/>
                        </w:rPr>
                        <w:t>8</w:t>
                      </w:r>
                      <w:bookmarkStart w:id="1" w:name="_GoBack"/>
                      <w:bookmarkEnd w:id="1"/>
                    </w:p>
                  </w:txbxContent>
                </v:textbox>
              </v:shape>
            </w:pict>
          </mc:Fallback>
        </mc:AlternateContent>
      </w:r>
    </w:p>
    <w:p w14:paraId="160077E7" w14:textId="74B91254" w:rsidR="00EB63E6" w:rsidRDefault="00A81B05" w:rsidP="00482DDC">
      <w:pPr>
        <w:spacing w:after="0" w:line="240" w:lineRule="auto"/>
        <w:rPr>
          <w:rFonts w:cs="Calibri"/>
          <w:b/>
          <w:sz w:val="32"/>
        </w:rPr>
      </w:pPr>
      <w:r w:rsidRPr="00A81B05">
        <w:rPr>
          <w:rFonts w:cs="Calibri"/>
          <w:b/>
          <w:sz w:val="32"/>
        </w:rPr>
        <w:t>Self</w:t>
      </w:r>
      <w:r w:rsidR="00FF6699">
        <w:rPr>
          <w:rFonts w:cs="Calibri"/>
          <w:b/>
          <w:sz w:val="32"/>
        </w:rPr>
        <w:t>-</w:t>
      </w:r>
      <w:r w:rsidRPr="00A81B05">
        <w:rPr>
          <w:rFonts w:cs="Calibri"/>
          <w:b/>
          <w:sz w:val="32"/>
        </w:rPr>
        <w:t>Assessment</w:t>
      </w:r>
      <w:r w:rsidR="00EB63E6" w:rsidRPr="00A81B05">
        <w:rPr>
          <w:rFonts w:cs="Calibri"/>
          <w:b/>
          <w:sz w:val="32"/>
        </w:rPr>
        <w:t xml:space="preserve"> </w:t>
      </w:r>
      <w:r w:rsidR="00ED75F4">
        <w:rPr>
          <w:rFonts w:cs="Calibri"/>
          <w:b/>
          <w:sz w:val="32"/>
        </w:rPr>
        <w:t xml:space="preserve">Basic </w:t>
      </w:r>
      <w:r w:rsidR="00291B88" w:rsidRPr="00A81B05">
        <w:rPr>
          <w:rFonts w:cs="Calibri"/>
          <w:b/>
          <w:sz w:val="32"/>
        </w:rPr>
        <w:t xml:space="preserve">Compliance </w:t>
      </w:r>
      <w:r w:rsidR="0012549E">
        <w:rPr>
          <w:rFonts w:cs="Calibri"/>
          <w:b/>
          <w:sz w:val="32"/>
        </w:rPr>
        <w:t>Checklist</w:t>
      </w:r>
      <w:r w:rsidR="00EB63E6" w:rsidRPr="00A81B05">
        <w:rPr>
          <w:rFonts w:cs="Calibri"/>
          <w:b/>
          <w:sz w:val="32"/>
        </w:rPr>
        <w:t xml:space="preserve"> for Employment Agencies</w:t>
      </w:r>
      <w:r w:rsidR="005326F2">
        <w:rPr>
          <w:rFonts w:cs="Calibri"/>
          <w:b/>
          <w:sz w:val="32"/>
        </w:rPr>
        <w:t xml:space="preserve"> </w:t>
      </w:r>
      <w:r w:rsidR="00217FAA">
        <w:rPr>
          <w:rFonts w:cs="Calibri"/>
          <w:b/>
          <w:sz w:val="32"/>
        </w:rPr>
        <w:t xml:space="preserve">with Comprehensive </w:t>
      </w:r>
      <w:r w:rsidR="00217FAA" w:rsidRPr="00D850A4">
        <w:rPr>
          <w:rFonts w:cs="Calibri"/>
          <w:b/>
          <w:sz w:val="32"/>
          <w:szCs w:val="32"/>
        </w:rPr>
        <w:t>Licences</w:t>
      </w:r>
      <w:r w:rsidR="00147441" w:rsidRPr="00D850A4">
        <w:rPr>
          <w:rFonts w:cs="Calibri"/>
          <w:b/>
          <w:sz w:val="32"/>
          <w:szCs w:val="32"/>
        </w:rPr>
        <w:t xml:space="preserve"> </w:t>
      </w:r>
      <w:r w:rsidR="00D850A4" w:rsidRPr="00D850A4">
        <w:rPr>
          <w:b/>
          <w:sz w:val="32"/>
          <w:szCs w:val="32"/>
        </w:rPr>
        <w:t>who can only place Singaporeans/PRs</w:t>
      </w:r>
    </w:p>
    <w:p w14:paraId="160077E8" w14:textId="77777777" w:rsidR="006B053C" w:rsidRDefault="006B053C" w:rsidP="00482DDC">
      <w:pPr>
        <w:spacing w:after="0" w:line="240" w:lineRule="auto"/>
        <w:rPr>
          <w:rFonts w:cs="Calibri"/>
          <w:b/>
          <w:sz w:val="32"/>
        </w:rPr>
      </w:pPr>
    </w:p>
    <w:p w14:paraId="7E9A2201" w14:textId="01AB7157" w:rsidR="00935F8D" w:rsidRDefault="00935F8D" w:rsidP="00935F8D">
      <w:pPr>
        <w:spacing w:after="0" w:line="240" w:lineRule="auto"/>
        <w:jc w:val="both"/>
        <w:rPr>
          <w:rFonts w:cs="Calibri"/>
          <w:i/>
          <w:color w:val="365F91" w:themeColor="accent1" w:themeShade="BF"/>
        </w:rPr>
      </w:pPr>
      <w:r w:rsidRPr="0012549E">
        <w:rPr>
          <w:rFonts w:cs="Calibri"/>
          <w:i/>
          <w:color w:val="365F91" w:themeColor="accent1" w:themeShade="BF"/>
        </w:rPr>
        <w:t>The basic compliance checklist assist</w:t>
      </w:r>
      <w:r>
        <w:rPr>
          <w:rFonts w:cs="Calibri"/>
          <w:i/>
          <w:color w:val="365F91" w:themeColor="accent1" w:themeShade="BF"/>
        </w:rPr>
        <w:t>s</w:t>
      </w:r>
      <w:r w:rsidRPr="0012549E">
        <w:rPr>
          <w:rFonts w:cs="Calibri"/>
          <w:i/>
          <w:color w:val="365F91" w:themeColor="accent1" w:themeShade="BF"/>
        </w:rPr>
        <w:t xml:space="preserve"> you to recogni</w:t>
      </w:r>
      <w:r>
        <w:rPr>
          <w:rFonts w:cs="Calibri"/>
          <w:i/>
          <w:color w:val="365F91" w:themeColor="accent1" w:themeShade="BF"/>
        </w:rPr>
        <w:t>z</w:t>
      </w:r>
      <w:r w:rsidRPr="0012549E">
        <w:rPr>
          <w:rFonts w:cs="Calibri"/>
          <w:i/>
          <w:color w:val="365F91" w:themeColor="accent1" w:themeShade="BF"/>
        </w:rPr>
        <w:t>e gaps in your employment agency’s compliance to the Employment Agencies Act and its subsidiary legislation</w:t>
      </w:r>
      <w:r>
        <w:rPr>
          <w:rFonts w:cs="Calibri"/>
          <w:i/>
          <w:color w:val="365F91" w:themeColor="accent1" w:themeShade="BF"/>
        </w:rPr>
        <w:t xml:space="preserve">, which can be found at </w:t>
      </w:r>
      <w:r w:rsidRPr="006B3DB4">
        <w:rPr>
          <w:rFonts w:cs="Calibri"/>
          <w:i/>
          <w:color w:val="365F91" w:themeColor="accent1" w:themeShade="BF"/>
        </w:rPr>
        <w:t>http://www.mom.gov.sg/legislation</w:t>
      </w:r>
      <w:r>
        <w:rPr>
          <w:rFonts w:cs="Calibri"/>
          <w:i/>
          <w:color w:val="365F91" w:themeColor="accent1" w:themeShade="BF"/>
        </w:rPr>
        <w:t>/employment-agencies</w:t>
      </w:r>
      <w:r w:rsidRPr="0012549E">
        <w:rPr>
          <w:rFonts w:cs="Calibri"/>
          <w:i/>
          <w:color w:val="365F91" w:themeColor="accent1" w:themeShade="BF"/>
        </w:rPr>
        <w:t xml:space="preserve">. It is </w:t>
      </w:r>
      <w:r>
        <w:rPr>
          <w:rFonts w:cs="Calibri"/>
          <w:i/>
          <w:color w:val="365F91" w:themeColor="accent1" w:themeShade="BF"/>
        </w:rPr>
        <w:t xml:space="preserve">however </w:t>
      </w:r>
      <w:r w:rsidRPr="0012549E">
        <w:rPr>
          <w:rFonts w:cs="Calibri"/>
          <w:i/>
          <w:color w:val="365F91" w:themeColor="accent1" w:themeShade="BF"/>
        </w:rPr>
        <w:t>no</w:t>
      </w:r>
      <w:r>
        <w:rPr>
          <w:rFonts w:cs="Calibri"/>
          <w:i/>
          <w:color w:val="365F91" w:themeColor="accent1" w:themeShade="BF"/>
        </w:rPr>
        <w:t>t</w:t>
      </w:r>
      <w:r w:rsidRPr="0012549E">
        <w:rPr>
          <w:rFonts w:cs="Calibri"/>
          <w:i/>
          <w:color w:val="365F91" w:themeColor="accent1" w:themeShade="BF"/>
        </w:rPr>
        <w:t xml:space="preserve"> exhaustive</w:t>
      </w:r>
      <w:r>
        <w:rPr>
          <w:rFonts w:cs="Calibri"/>
          <w:i/>
          <w:color w:val="365F91" w:themeColor="accent1" w:themeShade="BF"/>
        </w:rPr>
        <w:t>, but</w:t>
      </w:r>
      <w:r w:rsidRPr="0012549E">
        <w:rPr>
          <w:rFonts w:cs="Calibri"/>
          <w:i/>
          <w:color w:val="365F91" w:themeColor="accent1" w:themeShade="BF"/>
        </w:rPr>
        <w:t xml:space="preserve"> provides a starting point for employment agencies to perform self-assessment. </w:t>
      </w:r>
    </w:p>
    <w:p w14:paraId="160077EA" w14:textId="77777777" w:rsidR="007E4D40" w:rsidRPr="0012549E" w:rsidRDefault="007E4D40" w:rsidP="00482DDC">
      <w:pPr>
        <w:spacing w:after="0" w:line="240" w:lineRule="auto"/>
        <w:rPr>
          <w:rFonts w:cs="Calibri"/>
          <w:i/>
          <w:color w:val="365F91" w:themeColor="accent1" w:themeShade="BF"/>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gridCol w:w="850"/>
        <w:gridCol w:w="850"/>
      </w:tblGrid>
      <w:tr w:rsidR="000F0D0A" w:rsidRPr="000F0D0A" w14:paraId="160077EF" w14:textId="77777777" w:rsidTr="0012549E">
        <w:tc>
          <w:tcPr>
            <w:tcW w:w="534" w:type="dxa"/>
            <w:tcBorders>
              <w:bottom w:val="single" w:sz="4" w:space="0" w:color="auto"/>
            </w:tcBorders>
            <w:shd w:val="clear" w:color="auto" w:fill="215868" w:themeFill="accent5" w:themeFillShade="80"/>
          </w:tcPr>
          <w:p w14:paraId="160077EB" w14:textId="77777777" w:rsidR="000F0D0A" w:rsidRDefault="00291B88" w:rsidP="00482DDC">
            <w:pPr>
              <w:spacing w:after="0" w:line="264" w:lineRule="auto"/>
              <w:jc w:val="center"/>
              <w:rPr>
                <w:rFonts w:cs="Calibri"/>
                <w:b/>
                <w:color w:val="FFFFFF"/>
              </w:rPr>
            </w:pPr>
            <w:r>
              <w:rPr>
                <w:rFonts w:cs="Calibri"/>
                <w:b/>
                <w:color w:val="FFFFFF"/>
              </w:rPr>
              <w:t>No</w:t>
            </w:r>
          </w:p>
        </w:tc>
        <w:tc>
          <w:tcPr>
            <w:tcW w:w="8505" w:type="dxa"/>
            <w:tcBorders>
              <w:bottom w:val="single" w:sz="4" w:space="0" w:color="auto"/>
            </w:tcBorders>
            <w:shd w:val="clear" w:color="auto" w:fill="215868" w:themeFill="accent5" w:themeFillShade="80"/>
          </w:tcPr>
          <w:p w14:paraId="160077EC" w14:textId="77777777" w:rsidR="000F0D0A" w:rsidRPr="000F0D0A" w:rsidRDefault="000F0D0A" w:rsidP="00482DDC">
            <w:pPr>
              <w:spacing w:after="0" w:line="264" w:lineRule="auto"/>
              <w:rPr>
                <w:rFonts w:cs="Calibri"/>
                <w:b/>
                <w:color w:val="FFFFFF"/>
              </w:rPr>
            </w:pPr>
            <w:r>
              <w:rPr>
                <w:rFonts w:cs="Calibri"/>
                <w:b/>
                <w:color w:val="FFFFFF"/>
              </w:rPr>
              <w:t>Compliance Items</w:t>
            </w:r>
          </w:p>
        </w:tc>
        <w:tc>
          <w:tcPr>
            <w:tcW w:w="850" w:type="dxa"/>
            <w:tcBorders>
              <w:bottom w:val="single" w:sz="4" w:space="0" w:color="auto"/>
            </w:tcBorders>
            <w:shd w:val="clear" w:color="auto" w:fill="215868" w:themeFill="accent5" w:themeFillShade="80"/>
          </w:tcPr>
          <w:p w14:paraId="160077ED" w14:textId="77777777" w:rsidR="000F0D0A" w:rsidRPr="000F0D0A" w:rsidRDefault="000F0D0A" w:rsidP="00482DDC">
            <w:pPr>
              <w:spacing w:after="0" w:line="264" w:lineRule="auto"/>
              <w:jc w:val="center"/>
              <w:rPr>
                <w:rFonts w:cs="Calibri"/>
                <w:b/>
                <w:color w:val="FFFFFF"/>
              </w:rPr>
            </w:pPr>
            <w:r w:rsidRPr="000F0D0A">
              <w:rPr>
                <w:rFonts w:cs="Calibri"/>
                <w:b/>
                <w:color w:val="FFFFFF"/>
              </w:rPr>
              <w:t>Yes</w:t>
            </w:r>
          </w:p>
        </w:tc>
        <w:tc>
          <w:tcPr>
            <w:tcW w:w="850" w:type="dxa"/>
            <w:tcBorders>
              <w:bottom w:val="single" w:sz="4" w:space="0" w:color="auto"/>
            </w:tcBorders>
            <w:shd w:val="clear" w:color="auto" w:fill="215868" w:themeFill="accent5" w:themeFillShade="80"/>
          </w:tcPr>
          <w:p w14:paraId="160077EE" w14:textId="77777777" w:rsidR="000F0D0A" w:rsidRPr="000F0D0A" w:rsidRDefault="000F0D0A" w:rsidP="00482DDC">
            <w:pPr>
              <w:spacing w:after="0" w:line="264" w:lineRule="auto"/>
              <w:jc w:val="center"/>
              <w:rPr>
                <w:rFonts w:cs="Calibri"/>
                <w:b/>
                <w:color w:val="FFFFFF"/>
              </w:rPr>
            </w:pPr>
            <w:r w:rsidRPr="000F0D0A">
              <w:rPr>
                <w:rFonts w:cs="Calibri"/>
                <w:b/>
                <w:color w:val="FFFFFF"/>
              </w:rPr>
              <w:t>No</w:t>
            </w:r>
          </w:p>
        </w:tc>
      </w:tr>
      <w:tr w:rsidR="00645981" w:rsidRPr="00A81B05" w14:paraId="160077F1" w14:textId="77777777" w:rsidTr="0012549E">
        <w:tc>
          <w:tcPr>
            <w:tcW w:w="10739" w:type="dxa"/>
            <w:gridSpan w:val="4"/>
            <w:shd w:val="clear" w:color="auto" w:fill="31849B" w:themeFill="accent5" w:themeFillShade="BF"/>
          </w:tcPr>
          <w:p w14:paraId="160077F0" w14:textId="77777777" w:rsidR="00645981" w:rsidRPr="00EE2151" w:rsidRDefault="0040127F" w:rsidP="00645981">
            <w:pPr>
              <w:spacing w:after="0" w:line="264" w:lineRule="auto"/>
              <w:rPr>
                <w:rFonts w:cs="Calibri"/>
                <w:b/>
                <w:color w:val="FFFFFF"/>
              </w:rPr>
            </w:pPr>
            <w:r w:rsidRPr="00EE2151">
              <w:rPr>
                <w:rFonts w:cs="Calibri"/>
                <w:b/>
                <w:color w:val="FFFFFF"/>
              </w:rPr>
              <w:t xml:space="preserve">Ensuring </w:t>
            </w:r>
            <w:r w:rsidR="00645981" w:rsidRPr="00EE2151">
              <w:rPr>
                <w:rFonts w:cs="Calibri"/>
                <w:b/>
                <w:color w:val="FFFFFF"/>
              </w:rPr>
              <w:t>Professionalism of EA Industry</w:t>
            </w:r>
          </w:p>
        </w:tc>
      </w:tr>
      <w:tr w:rsidR="00D850A4" w:rsidRPr="00A24821" w14:paraId="160077FA" w14:textId="77777777" w:rsidTr="000C7E34">
        <w:tc>
          <w:tcPr>
            <w:tcW w:w="534" w:type="dxa"/>
          </w:tcPr>
          <w:p w14:paraId="160077F2" w14:textId="1EAEEE3B" w:rsidR="00D850A4" w:rsidRPr="00D850A4" w:rsidRDefault="00D850A4" w:rsidP="00D850A4">
            <w:pPr>
              <w:spacing w:after="0" w:line="264" w:lineRule="auto"/>
              <w:jc w:val="center"/>
              <w:rPr>
                <w:rFonts w:cs="Calibri"/>
              </w:rPr>
            </w:pPr>
            <w:r w:rsidRPr="00D850A4">
              <w:rPr>
                <w:rFonts w:cs="Calibri"/>
              </w:rPr>
              <w:t>1</w:t>
            </w:r>
          </w:p>
        </w:tc>
        <w:tc>
          <w:tcPr>
            <w:tcW w:w="8505" w:type="dxa"/>
          </w:tcPr>
          <w:p w14:paraId="691C182C" w14:textId="77777777" w:rsidR="00D850A4" w:rsidRPr="00D850A4" w:rsidRDefault="00D850A4" w:rsidP="00D850A4">
            <w:pPr>
              <w:spacing w:after="0" w:line="240" w:lineRule="auto"/>
              <w:rPr>
                <w:rFonts w:cs="Calibri"/>
                <w:color w:val="E36C0A" w:themeColor="accent6" w:themeShade="BF"/>
                <w:u w:val="single"/>
              </w:rPr>
            </w:pPr>
            <w:r w:rsidRPr="00D850A4">
              <w:rPr>
                <w:rFonts w:cs="Calibri"/>
                <w:color w:val="E36C0A" w:themeColor="accent6" w:themeShade="BF"/>
                <w:u w:val="single"/>
              </w:rPr>
              <w:t>EA Name and Licence Number</w:t>
            </w:r>
            <w:r w:rsidRPr="00E37D53">
              <w:rPr>
                <w:rFonts w:cs="Calibri"/>
                <w:color w:val="E36C0A" w:themeColor="accent6" w:themeShade="BF"/>
              </w:rPr>
              <w:t xml:space="preserve"> </w:t>
            </w:r>
            <w:r w:rsidRPr="00E37D53">
              <w:rPr>
                <w:rFonts w:cs="Calibri"/>
                <w:i/>
                <w:sz w:val="16"/>
                <w:szCs w:val="16"/>
              </w:rPr>
              <w:t>(wef 1 Jun 16)</w:t>
            </w:r>
          </w:p>
          <w:p w14:paraId="75D843D2" w14:textId="77777777" w:rsidR="00D850A4" w:rsidRPr="00D850A4" w:rsidRDefault="00D850A4" w:rsidP="00D850A4">
            <w:pPr>
              <w:spacing w:after="0" w:line="240" w:lineRule="auto"/>
              <w:rPr>
                <w:rFonts w:cs="Calibri"/>
              </w:rPr>
            </w:pPr>
            <w:r w:rsidRPr="00D850A4">
              <w:rPr>
                <w:rFonts w:cs="Calibri"/>
              </w:rPr>
              <w:t>The EA name and licence number are inserted on:</w:t>
            </w:r>
          </w:p>
          <w:p w14:paraId="04AEC874" w14:textId="77777777" w:rsidR="00D850A4" w:rsidRPr="00D850A4" w:rsidRDefault="00D850A4" w:rsidP="00D850A4">
            <w:pPr>
              <w:pStyle w:val="ListParagraph"/>
              <w:numPr>
                <w:ilvl w:val="0"/>
                <w:numId w:val="3"/>
              </w:numPr>
              <w:spacing w:after="0" w:line="240" w:lineRule="auto"/>
              <w:rPr>
                <w:rFonts w:cs="Calibri"/>
              </w:rPr>
            </w:pPr>
            <w:r w:rsidRPr="00D850A4">
              <w:rPr>
                <w:rFonts w:cs="Calibri"/>
              </w:rPr>
              <w:t xml:space="preserve">any signboard bearing the name of the EA and is visible to public </w:t>
            </w:r>
          </w:p>
          <w:p w14:paraId="404CB2AD" w14:textId="77777777" w:rsidR="00D850A4" w:rsidRPr="00D850A4" w:rsidRDefault="00D850A4" w:rsidP="00D850A4">
            <w:pPr>
              <w:pStyle w:val="ListParagraph"/>
              <w:numPr>
                <w:ilvl w:val="0"/>
                <w:numId w:val="3"/>
              </w:numPr>
              <w:spacing w:after="0" w:line="240" w:lineRule="auto"/>
              <w:rPr>
                <w:rFonts w:cs="Calibri"/>
              </w:rPr>
            </w:pPr>
            <w:r w:rsidRPr="00D850A4">
              <w:rPr>
                <w:rFonts w:cs="Calibri"/>
              </w:rPr>
              <w:t>any document issued or sent to any other party in the course of the EA’s performance of any function as an EA (including but not limited to invoices, receipts, service agreements, employment contracts and correspondence (whether electronic or otherwise)</w:t>
            </w:r>
          </w:p>
          <w:p w14:paraId="596F7AF3" w14:textId="77777777" w:rsidR="00D850A4" w:rsidRPr="00D850A4" w:rsidRDefault="00D850A4" w:rsidP="00D850A4">
            <w:pPr>
              <w:pStyle w:val="ListParagraph"/>
              <w:numPr>
                <w:ilvl w:val="0"/>
                <w:numId w:val="3"/>
              </w:numPr>
              <w:spacing w:after="0" w:line="240" w:lineRule="auto"/>
              <w:rPr>
                <w:rFonts w:cs="Calibri"/>
              </w:rPr>
            </w:pPr>
            <w:r w:rsidRPr="00D850A4">
              <w:rPr>
                <w:rFonts w:cs="Calibri"/>
              </w:rPr>
              <w:t>any advertisement publicizing any work or activity for or in connection with the employment of persons (such as but not limited to the EA’s website, name cards, pamphlets and publicity material on any social media platform)</w:t>
            </w:r>
          </w:p>
          <w:p w14:paraId="160077F7" w14:textId="24CCAFE5" w:rsidR="00D850A4" w:rsidRPr="00D850A4" w:rsidRDefault="00D850A4" w:rsidP="00D850A4">
            <w:pPr>
              <w:pStyle w:val="ListParagraph"/>
              <w:numPr>
                <w:ilvl w:val="0"/>
                <w:numId w:val="3"/>
              </w:numPr>
              <w:spacing w:after="0" w:line="240" w:lineRule="auto"/>
              <w:rPr>
                <w:rFonts w:cs="Calibri"/>
              </w:rPr>
            </w:pPr>
            <w:r w:rsidRPr="00D850A4">
              <w:rPr>
                <w:rFonts w:cs="Calibri"/>
              </w:rPr>
              <w:t>any advertisement (whether electronic or otherwise) distributed to the public by any other person on the licensee’s behalf</w:t>
            </w:r>
          </w:p>
        </w:tc>
        <w:tc>
          <w:tcPr>
            <w:tcW w:w="850" w:type="dxa"/>
          </w:tcPr>
          <w:p w14:paraId="160077F8" w14:textId="77777777" w:rsidR="00D850A4" w:rsidRPr="00A24821" w:rsidRDefault="00D850A4" w:rsidP="00D850A4">
            <w:pPr>
              <w:spacing w:after="0" w:line="264" w:lineRule="auto"/>
              <w:jc w:val="center"/>
              <w:rPr>
                <w:rFonts w:cs="Calibri"/>
                <w:highlight w:val="yellow"/>
              </w:rPr>
            </w:pPr>
          </w:p>
        </w:tc>
        <w:tc>
          <w:tcPr>
            <w:tcW w:w="850" w:type="dxa"/>
          </w:tcPr>
          <w:p w14:paraId="160077F9" w14:textId="77777777" w:rsidR="00D850A4" w:rsidRPr="00A24821" w:rsidRDefault="00D850A4" w:rsidP="00D850A4">
            <w:pPr>
              <w:spacing w:after="0" w:line="264" w:lineRule="auto"/>
              <w:jc w:val="center"/>
              <w:rPr>
                <w:rFonts w:cs="Calibri"/>
                <w:highlight w:val="yellow"/>
              </w:rPr>
            </w:pPr>
          </w:p>
        </w:tc>
      </w:tr>
      <w:tr w:rsidR="00D850A4" w:rsidRPr="00A81B05" w14:paraId="16007800" w14:textId="77777777" w:rsidTr="000C7E34">
        <w:tc>
          <w:tcPr>
            <w:tcW w:w="534" w:type="dxa"/>
          </w:tcPr>
          <w:p w14:paraId="160077FB" w14:textId="731387C4" w:rsidR="00D850A4" w:rsidRPr="00D850A4" w:rsidRDefault="00D850A4" w:rsidP="00D850A4">
            <w:pPr>
              <w:spacing w:after="0" w:line="264" w:lineRule="auto"/>
              <w:jc w:val="center"/>
              <w:rPr>
                <w:rFonts w:cs="Calibri"/>
                <w:highlight w:val="yellow"/>
              </w:rPr>
            </w:pPr>
            <w:r w:rsidRPr="00D850A4">
              <w:rPr>
                <w:rFonts w:cs="Calibri"/>
              </w:rPr>
              <w:t>2</w:t>
            </w:r>
          </w:p>
        </w:tc>
        <w:tc>
          <w:tcPr>
            <w:tcW w:w="8505" w:type="dxa"/>
          </w:tcPr>
          <w:p w14:paraId="216AD8A9" w14:textId="77777777" w:rsidR="00D850A4" w:rsidRPr="00D850A4" w:rsidRDefault="00D850A4" w:rsidP="00D850A4">
            <w:pPr>
              <w:spacing w:after="0" w:line="240" w:lineRule="auto"/>
              <w:rPr>
                <w:rFonts w:cs="Calibri"/>
                <w:b/>
                <w:color w:val="E36C0A" w:themeColor="accent6" w:themeShade="BF"/>
                <w:u w:val="single"/>
              </w:rPr>
            </w:pPr>
            <w:r w:rsidRPr="00D850A4">
              <w:rPr>
                <w:rFonts w:cs="Calibri"/>
                <w:color w:val="E36C0A" w:themeColor="accent6" w:themeShade="BF"/>
                <w:u w:val="single"/>
              </w:rPr>
              <w:t>EA Personnel Name and Registration Number</w:t>
            </w:r>
            <w:r w:rsidRPr="00D850A4">
              <w:rPr>
                <w:rFonts w:cs="Calibri"/>
                <w:color w:val="E36C0A" w:themeColor="accent6" w:themeShade="BF"/>
              </w:rPr>
              <w:t xml:space="preserve"> </w:t>
            </w:r>
            <w:r w:rsidRPr="00E37D53">
              <w:rPr>
                <w:rFonts w:cs="Calibri"/>
                <w:i/>
                <w:sz w:val="16"/>
                <w:szCs w:val="16"/>
              </w:rPr>
              <w:t>(wef 1 Jun 16)</w:t>
            </w:r>
          </w:p>
          <w:p w14:paraId="160077FD" w14:textId="1B069AAC" w:rsidR="00D850A4" w:rsidRPr="00D850A4" w:rsidRDefault="00D850A4" w:rsidP="00D850A4">
            <w:pPr>
              <w:spacing w:after="0" w:line="240" w:lineRule="auto"/>
              <w:rPr>
                <w:rFonts w:cs="Calibri"/>
              </w:rPr>
            </w:pPr>
            <w:r w:rsidRPr="00D850A4">
              <w:rPr>
                <w:rFonts w:cs="Calibri"/>
              </w:rPr>
              <w:t>The full names and registration numbers of EA personnel, as stipulated in the EA personnel’s registration cards are inserted in any document or advertisement referred to under item 1 of this checklist.</w:t>
            </w:r>
          </w:p>
        </w:tc>
        <w:tc>
          <w:tcPr>
            <w:tcW w:w="850" w:type="dxa"/>
          </w:tcPr>
          <w:p w14:paraId="160077FE" w14:textId="77777777" w:rsidR="00D850A4" w:rsidRPr="00A81B05" w:rsidRDefault="00D850A4" w:rsidP="00D850A4">
            <w:pPr>
              <w:spacing w:after="0" w:line="264" w:lineRule="auto"/>
              <w:jc w:val="center"/>
              <w:rPr>
                <w:rFonts w:cs="Calibri"/>
              </w:rPr>
            </w:pPr>
          </w:p>
        </w:tc>
        <w:tc>
          <w:tcPr>
            <w:tcW w:w="850" w:type="dxa"/>
          </w:tcPr>
          <w:p w14:paraId="160077FF" w14:textId="77777777" w:rsidR="00D850A4" w:rsidRPr="00A81B05" w:rsidRDefault="00D850A4" w:rsidP="00D850A4">
            <w:pPr>
              <w:spacing w:after="0" w:line="264" w:lineRule="auto"/>
              <w:jc w:val="center"/>
              <w:rPr>
                <w:rFonts w:cs="Calibri"/>
              </w:rPr>
            </w:pPr>
          </w:p>
        </w:tc>
      </w:tr>
      <w:tr w:rsidR="000F0D0A" w:rsidRPr="00A81B05" w14:paraId="16007806" w14:textId="77777777" w:rsidTr="000C7E34">
        <w:tc>
          <w:tcPr>
            <w:tcW w:w="534" w:type="dxa"/>
          </w:tcPr>
          <w:p w14:paraId="16007801" w14:textId="77777777" w:rsidR="000F0D0A" w:rsidRPr="00A81B05" w:rsidRDefault="00C00DD5" w:rsidP="00482DDC">
            <w:pPr>
              <w:spacing w:after="0" w:line="264" w:lineRule="auto"/>
              <w:jc w:val="center"/>
              <w:rPr>
                <w:rFonts w:cs="Calibri"/>
              </w:rPr>
            </w:pPr>
            <w:r>
              <w:rPr>
                <w:rFonts w:cs="Calibri"/>
              </w:rPr>
              <w:t>3</w:t>
            </w:r>
          </w:p>
        </w:tc>
        <w:tc>
          <w:tcPr>
            <w:tcW w:w="8505" w:type="dxa"/>
          </w:tcPr>
          <w:p w14:paraId="16007802" w14:textId="77777777" w:rsidR="00FE224C" w:rsidRPr="00116EFC" w:rsidRDefault="00EE2151" w:rsidP="0016050B">
            <w:pPr>
              <w:spacing w:after="0" w:line="240" w:lineRule="auto"/>
              <w:rPr>
                <w:rFonts w:cs="Calibri"/>
                <w:color w:val="E36C0A" w:themeColor="accent6" w:themeShade="BF"/>
                <w:u w:val="single"/>
              </w:rPr>
            </w:pPr>
            <w:r w:rsidRPr="00116EFC">
              <w:rPr>
                <w:rFonts w:cs="Calibri"/>
                <w:color w:val="E36C0A" w:themeColor="accent6" w:themeShade="BF"/>
                <w:u w:val="single"/>
              </w:rPr>
              <w:t>Personnel</w:t>
            </w:r>
            <w:r w:rsidR="00FE224C" w:rsidRPr="00116EFC">
              <w:rPr>
                <w:rFonts w:cs="Calibri"/>
                <w:color w:val="E36C0A" w:themeColor="accent6" w:themeShade="BF"/>
                <w:u w:val="single"/>
              </w:rPr>
              <w:t xml:space="preserve"> Registration</w:t>
            </w:r>
          </w:p>
          <w:p w14:paraId="16007803" w14:textId="77777777" w:rsidR="000F0D0A" w:rsidRPr="00211689" w:rsidRDefault="00EF1051" w:rsidP="00EF1051">
            <w:pPr>
              <w:spacing w:after="0" w:line="240" w:lineRule="auto"/>
              <w:rPr>
                <w:rFonts w:cs="Calibri"/>
              </w:rPr>
            </w:pPr>
            <w:r>
              <w:rPr>
                <w:rFonts w:cs="Calibri"/>
              </w:rPr>
              <w:t>The EA registers all p</w:t>
            </w:r>
            <w:r w:rsidR="000F0D0A" w:rsidRPr="00211689">
              <w:rPr>
                <w:rFonts w:cs="Calibri"/>
              </w:rPr>
              <w:t>ersonnel</w:t>
            </w:r>
            <w:r w:rsidR="00FE224C" w:rsidRPr="00211689">
              <w:rPr>
                <w:rFonts w:cs="Calibri"/>
              </w:rPr>
              <w:t xml:space="preserve"> who are performing EA work</w:t>
            </w:r>
            <w:r w:rsidR="000F0D0A" w:rsidRPr="00211689">
              <w:rPr>
                <w:rFonts w:cs="Calibri"/>
              </w:rPr>
              <w:t xml:space="preserve"> with MOM.</w:t>
            </w:r>
          </w:p>
        </w:tc>
        <w:tc>
          <w:tcPr>
            <w:tcW w:w="850" w:type="dxa"/>
          </w:tcPr>
          <w:p w14:paraId="16007804" w14:textId="77777777" w:rsidR="000F0D0A" w:rsidRPr="00A81B05" w:rsidRDefault="000F0D0A" w:rsidP="00482DDC">
            <w:pPr>
              <w:spacing w:after="0" w:line="264" w:lineRule="auto"/>
              <w:jc w:val="center"/>
              <w:rPr>
                <w:rFonts w:cs="Calibri"/>
              </w:rPr>
            </w:pPr>
          </w:p>
        </w:tc>
        <w:tc>
          <w:tcPr>
            <w:tcW w:w="850" w:type="dxa"/>
          </w:tcPr>
          <w:p w14:paraId="16007805" w14:textId="77777777" w:rsidR="000F0D0A" w:rsidRPr="00A81B05" w:rsidRDefault="000F0D0A" w:rsidP="00482DDC">
            <w:pPr>
              <w:spacing w:after="0" w:line="264" w:lineRule="auto"/>
              <w:jc w:val="center"/>
              <w:rPr>
                <w:rFonts w:cs="Calibri"/>
              </w:rPr>
            </w:pPr>
          </w:p>
        </w:tc>
      </w:tr>
      <w:tr w:rsidR="00C76B9C" w:rsidRPr="00A81B05" w14:paraId="1B535670" w14:textId="77777777" w:rsidTr="000C7E34">
        <w:tc>
          <w:tcPr>
            <w:tcW w:w="534" w:type="dxa"/>
          </w:tcPr>
          <w:p w14:paraId="2B3F6429" w14:textId="6727B704" w:rsidR="00C76B9C" w:rsidRPr="00935F8D" w:rsidRDefault="00C76B9C" w:rsidP="00482DDC">
            <w:pPr>
              <w:spacing w:after="0" w:line="264" w:lineRule="auto"/>
              <w:jc w:val="center"/>
              <w:rPr>
                <w:rFonts w:cs="Calibri"/>
              </w:rPr>
            </w:pPr>
            <w:r w:rsidRPr="00935F8D">
              <w:rPr>
                <w:rFonts w:cs="Calibri"/>
              </w:rPr>
              <w:t>4</w:t>
            </w:r>
          </w:p>
        </w:tc>
        <w:tc>
          <w:tcPr>
            <w:tcW w:w="8505" w:type="dxa"/>
          </w:tcPr>
          <w:p w14:paraId="39F251AF" w14:textId="032932C9" w:rsidR="00C76B9C" w:rsidRPr="00935F8D" w:rsidRDefault="00177950" w:rsidP="0016050B">
            <w:pPr>
              <w:spacing w:after="0" w:line="240" w:lineRule="auto"/>
              <w:rPr>
                <w:rFonts w:cs="Calibri"/>
                <w:color w:val="E36C0A" w:themeColor="accent6" w:themeShade="BF"/>
                <w:u w:val="single"/>
              </w:rPr>
            </w:pPr>
            <w:r w:rsidRPr="00935F8D">
              <w:rPr>
                <w:rFonts w:cs="Calibri"/>
              </w:rPr>
              <w:t>The EA has</w:t>
            </w:r>
            <w:r w:rsidR="00C76B9C" w:rsidRPr="00935F8D">
              <w:rPr>
                <w:rFonts w:cs="Calibri"/>
              </w:rPr>
              <w:t xml:space="preserve"> at least one Key Appointment Holder who is registered with the Ministry </w:t>
            </w:r>
            <w:r w:rsidR="00C76B9C" w:rsidRPr="00935F8D">
              <w:rPr>
                <w:rFonts w:cs="Calibri"/>
                <w:i/>
                <w:sz w:val="16"/>
                <w:szCs w:val="16"/>
              </w:rPr>
              <w:t>(wef 1 Sep 18)</w:t>
            </w:r>
          </w:p>
        </w:tc>
        <w:tc>
          <w:tcPr>
            <w:tcW w:w="850" w:type="dxa"/>
          </w:tcPr>
          <w:p w14:paraId="203489C8" w14:textId="77777777" w:rsidR="00C76B9C" w:rsidRPr="00A81B05" w:rsidRDefault="00C76B9C" w:rsidP="00482DDC">
            <w:pPr>
              <w:spacing w:after="0" w:line="264" w:lineRule="auto"/>
              <w:jc w:val="center"/>
              <w:rPr>
                <w:rFonts w:cs="Calibri"/>
              </w:rPr>
            </w:pPr>
          </w:p>
        </w:tc>
        <w:tc>
          <w:tcPr>
            <w:tcW w:w="850" w:type="dxa"/>
          </w:tcPr>
          <w:p w14:paraId="1A968404" w14:textId="77777777" w:rsidR="00C76B9C" w:rsidRPr="00A81B05" w:rsidRDefault="00C76B9C" w:rsidP="00482DDC">
            <w:pPr>
              <w:spacing w:after="0" w:line="264" w:lineRule="auto"/>
              <w:jc w:val="center"/>
              <w:rPr>
                <w:rFonts w:cs="Calibri"/>
              </w:rPr>
            </w:pPr>
          </w:p>
        </w:tc>
      </w:tr>
      <w:tr w:rsidR="000F0D0A" w:rsidRPr="00A81B05" w14:paraId="1600780C" w14:textId="77777777" w:rsidTr="000C7E34">
        <w:tc>
          <w:tcPr>
            <w:tcW w:w="534" w:type="dxa"/>
          </w:tcPr>
          <w:p w14:paraId="16007807" w14:textId="704F1CA0" w:rsidR="000F0D0A" w:rsidRPr="00A81B05" w:rsidRDefault="00C76B9C" w:rsidP="00482DDC">
            <w:pPr>
              <w:spacing w:after="0" w:line="264" w:lineRule="auto"/>
              <w:jc w:val="center"/>
              <w:rPr>
                <w:rFonts w:cs="Calibri"/>
              </w:rPr>
            </w:pPr>
            <w:r>
              <w:rPr>
                <w:rFonts w:cs="Calibri"/>
              </w:rPr>
              <w:t>5</w:t>
            </w:r>
          </w:p>
        </w:tc>
        <w:tc>
          <w:tcPr>
            <w:tcW w:w="8505" w:type="dxa"/>
          </w:tcPr>
          <w:p w14:paraId="16007808" w14:textId="77777777" w:rsidR="00EE2151" w:rsidRPr="00116EFC" w:rsidRDefault="00EE2151" w:rsidP="001C1E01">
            <w:pPr>
              <w:spacing w:after="0" w:line="240" w:lineRule="auto"/>
              <w:rPr>
                <w:rFonts w:cs="Calibri"/>
                <w:color w:val="E36C0A" w:themeColor="accent6" w:themeShade="BF"/>
                <w:u w:val="single"/>
              </w:rPr>
            </w:pPr>
            <w:r w:rsidRPr="00116EFC">
              <w:rPr>
                <w:rFonts w:cs="Calibri"/>
                <w:color w:val="E36C0A" w:themeColor="accent6" w:themeShade="BF"/>
                <w:u w:val="single"/>
              </w:rPr>
              <w:t>Registration Cards</w:t>
            </w:r>
          </w:p>
          <w:p w14:paraId="16007809" w14:textId="77777777" w:rsidR="000F0D0A" w:rsidRPr="00211689" w:rsidRDefault="00EF1051" w:rsidP="00A507D8">
            <w:pPr>
              <w:spacing w:after="0" w:line="240" w:lineRule="auto"/>
              <w:rPr>
                <w:rFonts w:cs="Calibri"/>
              </w:rPr>
            </w:pPr>
            <w:r>
              <w:rPr>
                <w:rFonts w:cs="Calibri"/>
              </w:rPr>
              <w:t xml:space="preserve">The </w:t>
            </w:r>
            <w:r w:rsidR="006C6143" w:rsidRPr="00211689">
              <w:rPr>
                <w:rFonts w:cs="Calibri"/>
              </w:rPr>
              <w:t>EA’s</w:t>
            </w:r>
            <w:r w:rsidR="000F0D0A" w:rsidRPr="00211689">
              <w:rPr>
                <w:rFonts w:cs="Calibri"/>
              </w:rPr>
              <w:t xml:space="preserve"> registered key appointment holders and </w:t>
            </w:r>
            <w:r w:rsidR="00EE2151">
              <w:rPr>
                <w:rFonts w:cs="Calibri"/>
              </w:rPr>
              <w:t>other EA personnel</w:t>
            </w:r>
            <w:r w:rsidR="000F0D0A" w:rsidRPr="00211689">
              <w:rPr>
                <w:rFonts w:cs="Calibri"/>
              </w:rPr>
              <w:t xml:space="preserve"> have Registration Cards which are in line with MOM’s requirements.</w:t>
            </w:r>
            <w:r w:rsidR="00325E55" w:rsidRPr="00211689">
              <w:rPr>
                <w:rFonts w:cs="Calibri"/>
              </w:rPr>
              <w:t xml:space="preserve"> (Refer to EA Rules 2</w:t>
            </w:r>
            <w:r w:rsidR="00325E55" w:rsidRPr="001C1E01">
              <w:rPr>
                <w:rFonts w:cs="Calibri"/>
              </w:rPr>
              <w:t xml:space="preserve">011 for specifications, or refer to the </w:t>
            </w:r>
            <w:r w:rsidR="00A507D8">
              <w:rPr>
                <w:rFonts w:cs="Calibri"/>
              </w:rPr>
              <w:t>last</w:t>
            </w:r>
            <w:r w:rsidR="00325E55" w:rsidRPr="001C1E01">
              <w:rPr>
                <w:rFonts w:cs="Calibri"/>
              </w:rPr>
              <w:t xml:space="preserve"> page for graphical representation)</w:t>
            </w:r>
            <w:r w:rsidR="001C1E01">
              <w:rPr>
                <w:rFonts w:cs="Calibri"/>
              </w:rPr>
              <w:t xml:space="preserve">. </w:t>
            </w:r>
          </w:p>
        </w:tc>
        <w:tc>
          <w:tcPr>
            <w:tcW w:w="850" w:type="dxa"/>
          </w:tcPr>
          <w:p w14:paraId="1600780A" w14:textId="77777777" w:rsidR="000F0D0A" w:rsidRPr="00A81B05" w:rsidRDefault="000F0D0A" w:rsidP="00482DDC">
            <w:pPr>
              <w:spacing w:after="0" w:line="264" w:lineRule="auto"/>
              <w:jc w:val="center"/>
              <w:rPr>
                <w:rFonts w:cs="Calibri"/>
              </w:rPr>
            </w:pPr>
          </w:p>
        </w:tc>
        <w:tc>
          <w:tcPr>
            <w:tcW w:w="850" w:type="dxa"/>
          </w:tcPr>
          <w:p w14:paraId="1600780B" w14:textId="77777777" w:rsidR="000F0D0A" w:rsidRPr="00A81B05" w:rsidRDefault="000F0D0A" w:rsidP="00482DDC">
            <w:pPr>
              <w:spacing w:after="0" w:line="264" w:lineRule="auto"/>
              <w:jc w:val="center"/>
              <w:rPr>
                <w:rFonts w:cs="Calibri"/>
              </w:rPr>
            </w:pPr>
          </w:p>
        </w:tc>
      </w:tr>
      <w:tr w:rsidR="000F0D0A" w:rsidRPr="00A81B05" w14:paraId="16007812" w14:textId="77777777" w:rsidTr="00C00DD5">
        <w:tc>
          <w:tcPr>
            <w:tcW w:w="534" w:type="dxa"/>
            <w:tcBorders>
              <w:bottom w:val="single" w:sz="4" w:space="0" w:color="auto"/>
            </w:tcBorders>
          </w:tcPr>
          <w:p w14:paraId="1600780D" w14:textId="6506DA2A" w:rsidR="000F0D0A" w:rsidRPr="00A81B05" w:rsidRDefault="00C76B9C" w:rsidP="00482DDC">
            <w:pPr>
              <w:spacing w:after="0" w:line="264" w:lineRule="auto"/>
              <w:jc w:val="center"/>
              <w:rPr>
                <w:rFonts w:cs="Calibri"/>
              </w:rPr>
            </w:pPr>
            <w:r>
              <w:rPr>
                <w:rFonts w:cs="Calibri"/>
              </w:rPr>
              <w:t>6</w:t>
            </w:r>
          </w:p>
        </w:tc>
        <w:tc>
          <w:tcPr>
            <w:tcW w:w="8505" w:type="dxa"/>
            <w:tcBorders>
              <w:bottom w:val="single" w:sz="4" w:space="0" w:color="auto"/>
            </w:tcBorders>
          </w:tcPr>
          <w:p w14:paraId="1600780E" w14:textId="77777777" w:rsidR="00EE2151" w:rsidRPr="00116EFC" w:rsidRDefault="00EE2151" w:rsidP="0016050B">
            <w:pPr>
              <w:spacing w:after="0" w:line="240" w:lineRule="auto"/>
              <w:rPr>
                <w:rFonts w:cs="Calibri"/>
                <w:color w:val="E36C0A" w:themeColor="accent6" w:themeShade="BF"/>
                <w:u w:val="single"/>
              </w:rPr>
            </w:pPr>
            <w:r w:rsidRPr="00116EFC">
              <w:rPr>
                <w:rFonts w:cs="Calibri"/>
                <w:color w:val="E36C0A" w:themeColor="accent6" w:themeShade="BF"/>
                <w:u w:val="single"/>
              </w:rPr>
              <w:t>Deregistration of EA Personnel</w:t>
            </w:r>
          </w:p>
          <w:p w14:paraId="1600780F" w14:textId="77777777" w:rsidR="000F0D0A" w:rsidRPr="00211689" w:rsidRDefault="00EF1051" w:rsidP="00EF1051">
            <w:pPr>
              <w:spacing w:after="0" w:line="240" w:lineRule="auto"/>
              <w:rPr>
                <w:rFonts w:cs="Calibri"/>
              </w:rPr>
            </w:pPr>
            <w:r>
              <w:rPr>
                <w:rFonts w:cs="Calibri"/>
              </w:rPr>
              <w:t>The EA deregisters p</w:t>
            </w:r>
            <w:r w:rsidR="000F0D0A" w:rsidRPr="00211689">
              <w:rPr>
                <w:rFonts w:cs="Calibri"/>
              </w:rPr>
              <w:t>ersonnel who have left the EA’s employment or who have stopped performing EA work</w:t>
            </w:r>
            <w:r w:rsidR="00FE224C" w:rsidRPr="00211689">
              <w:rPr>
                <w:rFonts w:cs="Calibri"/>
              </w:rPr>
              <w:t xml:space="preserve"> </w:t>
            </w:r>
            <w:r w:rsidR="000F0D0A" w:rsidRPr="00211689">
              <w:rPr>
                <w:rFonts w:cs="Calibri"/>
              </w:rPr>
              <w:t>within 3 working days</w:t>
            </w:r>
            <w:r w:rsidR="00E27016" w:rsidRPr="00211689">
              <w:rPr>
                <w:rFonts w:cs="Calibri"/>
              </w:rPr>
              <w:t>.</w:t>
            </w:r>
          </w:p>
        </w:tc>
        <w:tc>
          <w:tcPr>
            <w:tcW w:w="850" w:type="dxa"/>
            <w:tcBorders>
              <w:bottom w:val="single" w:sz="4" w:space="0" w:color="auto"/>
            </w:tcBorders>
          </w:tcPr>
          <w:p w14:paraId="16007810" w14:textId="77777777" w:rsidR="000F0D0A" w:rsidRPr="00A81B05" w:rsidRDefault="000F0D0A" w:rsidP="00482DDC">
            <w:pPr>
              <w:spacing w:after="0" w:line="264" w:lineRule="auto"/>
              <w:jc w:val="center"/>
              <w:rPr>
                <w:rFonts w:cs="Calibri"/>
              </w:rPr>
            </w:pPr>
          </w:p>
        </w:tc>
        <w:tc>
          <w:tcPr>
            <w:tcW w:w="850" w:type="dxa"/>
            <w:tcBorders>
              <w:bottom w:val="single" w:sz="4" w:space="0" w:color="auto"/>
            </w:tcBorders>
          </w:tcPr>
          <w:p w14:paraId="16007811" w14:textId="77777777" w:rsidR="000F0D0A" w:rsidRPr="00A81B05" w:rsidRDefault="000F0D0A" w:rsidP="00482DDC">
            <w:pPr>
              <w:spacing w:after="0" w:line="264" w:lineRule="auto"/>
              <w:jc w:val="center"/>
              <w:rPr>
                <w:rFonts w:cs="Calibri"/>
              </w:rPr>
            </w:pPr>
          </w:p>
        </w:tc>
      </w:tr>
      <w:tr w:rsidR="00D850A4" w:rsidRPr="00A81B05" w14:paraId="1EDDEDA7" w14:textId="77777777" w:rsidTr="00C00DD5">
        <w:tc>
          <w:tcPr>
            <w:tcW w:w="534" w:type="dxa"/>
            <w:tcBorders>
              <w:bottom w:val="single" w:sz="4" w:space="0" w:color="auto"/>
            </w:tcBorders>
          </w:tcPr>
          <w:p w14:paraId="12AD394B" w14:textId="4CA6E6D1" w:rsidR="00D850A4" w:rsidRDefault="00C76B9C" w:rsidP="00482DDC">
            <w:pPr>
              <w:spacing w:after="0" w:line="264" w:lineRule="auto"/>
              <w:jc w:val="center"/>
              <w:rPr>
                <w:rFonts w:cs="Calibri"/>
              </w:rPr>
            </w:pPr>
            <w:r>
              <w:rPr>
                <w:rFonts w:cs="Calibri"/>
              </w:rPr>
              <w:t>7</w:t>
            </w:r>
          </w:p>
        </w:tc>
        <w:tc>
          <w:tcPr>
            <w:tcW w:w="8505" w:type="dxa"/>
            <w:tcBorders>
              <w:bottom w:val="single" w:sz="4" w:space="0" w:color="auto"/>
            </w:tcBorders>
          </w:tcPr>
          <w:p w14:paraId="42F2F28A" w14:textId="77777777" w:rsidR="00D850A4" w:rsidRPr="00116EFC" w:rsidRDefault="00D850A4" w:rsidP="00D850A4">
            <w:pPr>
              <w:spacing w:after="0" w:line="240" w:lineRule="auto"/>
              <w:rPr>
                <w:rFonts w:cs="Calibri"/>
                <w:color w:val="E36C0A" w:themeColor="accent6" w:themeShade="BF"/>
                <w:u w:val="single"/>
              </w:rPr>
            </w:pPr>
            <w:r w:rsidRPr="00116EFC">
              <w:rPr>
                <w:rFonts w:cs="Calibri"/>
                <w:color w:val="E36C0A" w:themeColor="accent6" w:themeShade="BF"/>
                <w:u w:val="single"/>
              </w:rPr>
              <w:t>TEP/TWP Holders</w:t>
            </w:r>
          </w:p>
          <w:p w14:paraId="1A7BBC6D" w14:textId="7D4F6DEC" w:rsidR="00D850A4" w:rsidRPr="00116EFC" w:rsidRDefault="00D850A4" w:rsidP="00D850A4">
            <w:pPr>
              <w:spacing w:after="0" w:line="240" w:lineRule="auto"/>
              <w:rPr>
                <w:rFonts w:cs="Calibri"/>
                <w:color w:val="E36C0A" w:themeColor="accent6" w:themeShade="BF"/>
                <w:u w:val="single"/>
              </w:rPr>
            </w:pPr>
            <w:r>
              <w:rPr>
                <w:rFonts w:cs="Calibri"/>
              </w:rPr>
              <w:t xml:space="preserve">The EA does not place </w:t>
            </w:r>
            <w:r w:rsidRPr="00211689">
              <w:rPr>
                <w:rFonts w:cs="Calibri"/>
              </w:rPr>
              <w:t>Training Work Permit or Training Employment Pass holders.</w:t>
            </w:r>
          </w:p>
        </w:tc>
        <w:tc>
          <w:tcPr>
            <w:tcW w:w="850" w:type="dxa"/>
            <w:tcBorders>
              <w:bottom w:val="single" w:sz="4" w:space="0" w:color="auto"/>
            </w:tcBorders>
          </w:tcPr>
          <w:p w14:paraId="17F874B2" w14:textId="77777777" w:rsidR="00D850A4" w:rsidRPr="00A81B05" w:rsidRDefault="00D850A4" w:rsidP="00482DDC">
            <w:pPr>
              <w:spacing w:after="0" w:line="264" w:lineRule="auto"/>
              <w:jc w:val="center"/>
              <w:rPr>
                <w:rFonts w:cs="Calibri"/>
              </w:rPr>
            </w:pPr>
          </w:p>
        </w:tc>
        <w:tc>
          <w:tcPr>
            <w:tcW w:w="850" w:type="dxa"/>
            <w:tcBorders>
              <w:bottom w:val="single" w:sz="4" w:space="0" w:color="auto"/>
            </w:tcBorders>
          </w:tcPr>
          <w:p w14:paraId="31A19500" w14:textId="77777777" w:rsidR="00D850A4" w:rsidRPr="00A81B05" w:rsidRDefault="00D850A4" w:rsidP="00482DDC">
            <w:pPr>
              <w:spacing w:after="0" w:line="264" w:lineRule="auto"/>
              <w:jc w:val="center"/>
              <w:rPr>
                <w:rFonts w:cs="Calibri"/>
              </w:rPr>
            </w:pPr>
          </w:p>
        </w:tc>
      </w:tr>
      <w:tr w:rsidR="00C00DD5" w:rsidRPr="00A81B05" w14:paraId="16007818" w14:textId="77777777" w:rsidTr="0040127F">
        <w:tc>
          <w:tcPr>
            <w:tcW w:w="534" w:type="dxa"/>
          </w:tcPr>
          <w:p w14:paraId="16007813" w14:textId="72E28A48" w:rsidR="00C00DD5" w:rsidRPr="00A81B05" w:rsidRDefault="00C76B9C" w:rsidP="0040127F">
            <w:pPr>
              <w:spacing w:after="0" w:line="264" w:lineRule="auto"/>
              <w:jc w:val="center"/>
              <w:rPr>
                <w:rFonts w:cs="Calibri"/>
              </w:rPr>
            </w:pPr>
            <w:r>
              <w:rPr>
                <w:rFonts w:cs="Calibri"/>
              </w:rPr>
              <w:t>8</w:t>
            </w:r>
          </w:p>
        </w:tc>
        <w:tc>
          <w:tcPr>
            <w:tcW w:w="8505" w:type="dxa"/>
          </w:tcPr>
          <w:p w14:paraId="16007814" w14:textId="77777777" w:rsidR="00C00DD5" w:rsidRPr="00116EFC" w:rsidRDefault="00C00DD5" w:rsidP="0040127F">
            <w:pPr>
              <w:spacing w:after="0" w:line="240" w:lineRule="auto"/>
              <w:rPr>
                <w:rFonts w:cs="Calibri"/>
                <w:color w:val="E36C0A" w:themeColor="accent6" w:themeShade="BF"/>
                <w:u w:val="single"/>
              </w:rPr>
            </w:pPr>
            <w:r w:rsidRPr="00116EFC">
              <w:rPr>
                <w:rFonts w:cs="Calibri"/>
                <w:color w:val="E36C0A" w:themeColor="accent6" w:themeShade="BF"/>
                <w:u w:val="single"/>
              </w:rPr>
              <w:t>Update Information to MOM</w:t>
            </w:r>
          </w:p>
          <w:p w14:paraId="16007815" w14:textId="77777777" w:rsidR="00C00DD5" w:rsidRPr="001C1E01" w:rsidRDefault="00EF1051" w:rsidP="00EF1051">
            <w:pPr>
              <w:spacing w:after="0" w:line="240" w:lineRule="auto"/>
              <w:rPr>
                <w:rFonts w:cs="Calibri"/>
              </w:rPr>
            </w:pPr>
            <w:r>
              <w:rPr>
                <w:rFonts w:cs="Calibri"/>
              </w:rPr>
              <w:t xml:space="preserve">The EA updates </w:t>
            </w:r>
            <w:r w:rsidR="00C00DD5" w:rsidRPr="001C1E01">
              <w:rPr>
                <w:rFonts w:cs="Calibri"/>
              </w:rPr>
              <w:t xml:space="preserve">MOM </w:t>
            </w:r>
            <w:r w:rsidR="006B0FA0">
              <w:rPr>
                <w:rFonts w:cs="Calibri"/>
              </w:rPr>
              <w:t>within 7 working days</w:t>
            </w:r>
            <w:r>
              <w:rPr>
                <w:rFonts w:cs="Calibri"/>
              </w:rPr>
              <w:t>,</w:t>
            </w:r>
            <w:r w:rsidR="006B0FA0">
              <w:rPr>
                <w:rFonts w:cs="Calibri"/>
              </w:rPr>
              <w:t xml:space="preserve"> </w:t>
            </w:r>
            <w:r w:rsidR="00C00DD5" w:rsidRPr="001C1E01">
              <w:rPr>
                <w:rFonts w:cs="Calibri"/>
              </w:rPr>
              <w:t>if there is a change in EA’s place of business.</w:t>
            </w:r>
          </w:p>
        </w:tc>
        <w:tc>
          <w:tcPr>
            <w:tcW w:w="850" w:type="dxa"/>
          </w:tcPr>
          <w:p w14:paraId="16007816" w14:textId="77777777" w:rsidR="00C00DD5" w:rsidRPr="00A81B05" w:rsidRDefault="00C00DD5" w:rsidP="0040127F">
            <w:pPr>
              <w:spacing w:after="0" w:line="264" w:lineRule="auto"/>
              <w:jc w:val="center"/>
              <w:rPr>
                <w:rFonts w:cs="Calibri"/>
              </w:rPr>
            </w:pPr>
          </w:p>
        </w:tc>
        <w:tc>
          <w:tcPr>
            <w:tcW w:w="850" w:type="dxa"/>
          </w:tcPr>
          <w:p w14:paraId="16007817" w14:textId="77777777" w:rsidR="00C00DD5" w:rsidRPr="00A81B05" w:rsidRDefault="00C00DD5" w:rsidP="0040127F">
            <w:pPr>
              <w:spacing w:after="0" w:line="264" w:lineRule="auto"/>
              <w:jc w:val="center"/>
              <w:rPr>
                <w:rFonts w:cs="Calibri"/>
              </w:rPr>
            </w:pPr>
          </w:p>
        </w:tc>
      </w:tr>
      <w:tr w:rsidR="00C00DD5" w:rsidRPr="00A81B05" w14:paraId="1600781D" w14:textId="77777777" w:rsidTr="0012549E">
        <w:tc>
          <w:tcPr>
            <w:tcW w:w="534" w:type="dxa"/>
            <w:tcBorders>
              <w:bottom w:val="single" w:sz="4" w:space="0" w:color="auto"/>
            </w:tcBorders>
          </w:tcPr>
          <w:p w14:paraId="16007819" w14:textId="3FBD3094" w:rsidR="00C00DD5" w:rsidRPr="00A81B05" w:rsidRDefault="00C76B9C" w:rsidP="0040127F">
            <w:pPr>
              <w:spacing w:after="0" w:line="264" w:lineRule="auto"/>
              <w:jc w:val="center"/>
              <w:rPr>
                <w:rFonts w:cs="Calibri"/>
              </w:rPr>
            </w:pPr>
            <w:r>
              <w:rPr>
                <w:rFonts w:cs="Calibri"/>
              </w:rPr>
              <w:t>9</w:t>
            </w:r>
          </w:p>
        </w:tc>
        <w:tc>
          <w:tcPr>
            <w:tcW w:w="8505" w:type="dxa"/>
            <w:tcBorders>
              <w:bottom w:val="single" w:sz="4" w:space="0" w:color="auto"/>
            </w:tcBorders>
          </w:tcPr>
          <w:p w14:paraId="1600781A" w14:textId="38A1B819" w:rsidR="00C00DD5" w:rsidRPr="00D850A4" w:rsidRDefault="00D850A4" w:rsidP="00EF1051">
            <w:pPr>
              <w:spacing w:after="0" w:line="240" w:lineRule="auto"/>
              <w:rPr>
                <w:rFonts w:cs="Calibri"/>
              </w:rPr>
            </w:pPr>
            <w:r w:rsidRPr="00D850A4">
              <w:rPr>
                <w:rFonts w:cs="Calibri"/>
              </w:rPr>
              <w:t>Any change in any business registration details with ACRA is updated in Licence One.</w:t>
            </w:r>
          </w:p>
        </w:tc>
        <w:tc>
          <w:tcPr>
            <w:tcW w:w="850" w:type="dxa"/>
            <w:tcBorders>
              <w:bottom w:val="single" w:sz="4" w:space="0" w:color="auto"/>
            </w:tcBorders>
          </w:tcPr>
          <w:p w14:paraId="1600781B" w14:textId="77777777" w:rsidR="00C00DD5" w:rsidRPr="00A81B05" w:rsidRDefault="00C00DD5" w:rsidP="0040127F">
            <w:pPr>
              <w:spacing w:after="0" w:line="264" w:lineRule="auto"/>
              <w:jc w:val="center"/>
              <w:rPr>
                <w:rFonts w:cs="Calibri"/>
              </w:rPr>
            </w:pPr>
          </w:p>
        </w:tc>
        <w:tc>
          <w:tcPr>
            <w:tcW w:w="850" w:type="dxa"/>
            <w:tcBorders>
              <w:bottom w:val="single" w:sz="4" w:space="0" w:color="auto"/>
            </w:tcBorders>
          </w:tcPr>
          <w:p w14:paraId="1600781C" w14:textId="77777777" w:rsidR="00C00DD5" w:rsidRPr="00A81B05" w:rsidRDefault="00C00DD5" w:rsidP="0040127F">
            <w:pPr>
              <w:spacing w:after="0" w:line="264" w:lineRule="auto"/>
              <w:jc w:val="center"/>
              <w:rPr>
                <w:rFonts w:cs="Calibri"/>
              </w:rPr>
            </w:pPr>
          </w:p>
        </w:tc>
      </w:tr>
      <w:tr w:rsidR="00147441" w:rsidRPr="00A81B05" w14:paraId="1600781F" w14:textId="77777777" w:rsidTr="00F3031F">
        <w:tc>
          <w:tcPr>
            <w:tcW w:w="10739" w:type="dxa"/>
            <w:gridSpan w:val="4"/>
            <w:tcBorders>
              <w:bottom w:val="single" w:sz="4" w:space="0" w:color="auto"/>
            </w:tcBorders>
            <w:shd w:val="clear" w:color="auto" w:fill="31849B" w:themeFill="accent5" w:themeFillShade="BF"/>
          </w:tcPr>
          <w:p w14:paraId="1600781E" w14:textId="77777777" w:rsidR="00147441" w:rsidRPr="00C00DD5" w:rsidRDefault="00147441" w:rsidP="00147441">
            <w:pPr>
              <w:spacing w:after="0" w:line="264" w:lineRule="auto"/>
              <w:rPr>
                <w:rFonts w:cs="Calibri"/>
                <w:b/>
                <w:color w:val="FFFFFF"/>
              </w:rPr>
            </w:pPr>
            <w:r>
              <w:rPr>
                <w:rFonts w:cs="Calibri"/>
                <w:b/>
                <w:color w:val="FFFFFF"/>
              </w:rPr>
              <w:t>EA’s Duty of Care to Applicants for Employment</w:t>
            </w:r>
          </w:p>
        </w:tc>
      </w:tr>
      <w:tr w:rsidR="00147441" w:rsidRPr="00A81B05" w14:paraId="16007825" w14:textId="77777777" w:rsidTr="00F3031F">
        <w:tc>
          <w:tcPr>
            <w:tcW w:w="534" w:type="dxa"/>
            <w:tcBorders>
              <w:bottom w:val="single" w:sz="4" w:space="0" w:color="auto"/>
            </w:tcBorders>
          </w:tcPr>
          <w:p w14:paraId="16007820" w14:textId="760C6192" w:rsidR="00147441" w:rsidRPr="00A81B05" w:rsidRDefault="00C76B9C" w:rsidP="00F3031F">
            <w:pPr>
              <w:spacing w:after="0" w:line="264" w:lineRule="auto"/>
              <w:jc w:val="center"/>
              <w:rPr>
                <w:rFonts w:cs="Calibri"/>
              </w:rPr>
            </w:pPr>
            <w:r>
              <w:rPr>
                <w:rFonts w:cs="Calibri"/>
              </w:rPr>
              <w:t>10</w:t>
            </w:r>
          </w:p>
        </w:tc>
        <w:tc>
          <w:tcPr>
            <w:tcW w:w="8505" w:type="dxa"/>
            <w:tcBorders>
              <w:bottom w:val="single" w:sz="4" w:space="0" w:color="auto"/>
            </w:tcBorders>
          </w:tcPr>
          <w:p w14:paraId="16007821" w14:textId="77777777" w:rsidR="00147441" w:rsidRPr="00147441" w:rsidRDefault="00147441" w:rsidP="00F3031F">
            <w:pPr>
              <w:spacing w:after="0" w:line="240" w:lineRule="auto"/>
              <w:rPr>
                <w:rFonts w:cs="Calibri"/>
                <w:color w:val="E36C0A" w:themeColor="accent6" w:themeShade="BF"/>
                <w:u w:val="single"/>
              </w:rPr>
            </w:pPr>
            <w:r w:rsidRPr="00147441">
              <w:rPr>
                <w:rFonts w:cs="Calibri"/>
                <w:color w:val="E36C0A" w:themeColor="accent6" w:themeShade="BF"/>
                <w:u w:val="single"/>
              </w:rPr>
              <w:t>Condition for Placement</w:t>
            </w:r>
          </w:p>
          <w:p w14:paraId="16007822" w14:textId="77777777" w:rsidR="00147441" w:rsidRPr="00147441" w:rsidRDefault="00147441" w:rsidP="00F3031F">
            <w:pPr>
              <w:spacing w:after="0" w:line="240" w:lineRule="auto"/>
              <w:rPr>
                <w:rFonts w:cs="Calibri"/>
              </w:rPr>
            </w:pPr>
            <w:r w:rsidRPr="00147441">
              <w:rPr>
                <w:rFonts w:cs="Calibri"/>
              </w:rPr>
              <w:t>The EA is only involved in the placement of locals and Singapore Permanent Residents.</w:t>
            </w:r>
          </w:p>
        </w:tc>
        <w:tc>
          <w:tcPr>
            <w:tcW w:w="850" w:type="dxa"/>
            <w:tcBorders>
              <w:bottom w:val="single" w:sz="4" w:space="0" w:color="auto"/>
            </w:tcBorders>
          </w:tcPr>
          <w:p w14:paraId="16007823" w14:textId="77777777" w:rsidR="00147441" w:rsidRPr="00A81B05" w:rsidRDefault="00147441" w:rsidP="00F3031F">
            <w:pPr>
              <w:spacing w:after="0" w:line="264" w:lineRule="auto"/>
              <w:jc w:val="center"/>
              <w:rPr>
                <w:rFonts w:cs="Calibri"/>
              </w:rPr>
            </w:pPr>
          </w:p>
        </w:tc>
        <w:tc>
          <w:tcPr>
            <w:tcW w:w="850" w:type="dxa"/>
            <w:tcBorders>
              <w:bottom w:val="single" w:sz="4" w:space="0" w:color="auto"/>
            </w:tcBorders>
          </w:tcPr>
          <w:p w14:paraId="16007824" w14:textId="77777777" w:rsidR="00147441" w:rsidRPr="00A81B05" w:rsidRDefault="00147441" w:rsidP="00F3031F">
            <w:pPr>
              <w:spacing w:after="0" w:line="264" w:lineRule="auto"/>
              <w:jc w:val="center"/>
              <w:rPr>
                <w:rFonts w:cs="Calibri"/>
              </w:rPr>
            </w:pPr>
          </w:p>
        </w:tc>
      </w:tr>
      <w:tr w:rsidR="00147441" w:rsidRPr="00A81B05" w14:paraId="1600782B" w14:textId="77777777" w:rsidTr="00F3031F">
        <w:tc>
          <w:tcPr>
            <w:tcW w:w="534" w:type="dxa"/>
          </w:tcPr>
          <w:p w14:paraId="16007826" w14:textId="134084D0" w:rsidR="00147441" w:rsidRPr="00A81B05" w:rsidRDefault="00C76B9C" w:rsidP="00F3031F">
            <w:pPr>
              <w:spacing w:after="0" w:line="264" w:lineRule="auto"/>
              <w:jc w:val="center"/>
              <w:rPr>
                <w:rFonts w:cs="Calibri"/>
              </w:rPr>
            </w:pPr>
            <w:r>
              <w:rPr>
                <w:rFonts w:cs="Calibri"/>
              </w:rPr>
              <w:t>11</w:t>
            </w:r>
          </w:p>
        </w:tc>
        <w:tc>
          <w:tcPr>
            <w:tcW w:w="8505" w:type="dxa"/>
          </w:tcPr>
          <w:p w14:paraId="16007827" w14:textId="420B87C6" w:rsidR="00147441" w:rsidRPr="00147441" w:rsidRDefault="00147441" w:rsidP="00F3031F">
            <w:pPr>
              <w:spacing w:after="0" w:line="240" w:lineRule="auto"/>
              <w:rPr>
                <w:rFonts w:cs="Calibri"/>
                <w:u w:val="single"/>
              </w:rPr>
            </w:pPr>
            <w:r w:rsidRPr="00147441">
              <w:rPr>
                <w:rFonts w:cs="Calibri"/>
                <w:color w:val="E36C0A" w:themeColor="accent6" w:themeShade="BF"/>
                <w:u w:val="single"/>
              </w:rPr>
              <w:t>Fees</w:t>
            </w:r>
            <w:r w:rsidR="009C4A37">
              <w:rPr>
                <w:rFonts w:cs="Calibri"/>
                <w:color w:val="E36C0A" w:themeColor="accent6" w:themeShade="BF"/>
                <w:u w:val="single"/>
              </w:rPr>
              <w:t xml:space="preserve"> </w:t>
            </w:r>
          </w:p>
          <w:p w14:paraId="16007828" w14:textId="6695DBE0" w:rsidR="00147441" w:rsidRPr="00147441" w:rsidRDefault="00147441" w:rsidP="00F3031F">
            <w:pPr>
              <w:spacing w:after="0" w:line="240" w:lineRule="auto"/>
              <w:rPr>
                <w:rFonts w:cs="Calibri"/>
              </w:rPr>
            </w:pPr>
            <w:r w:rsidRPr="00147441">
              <w:rPr>
                <w:rFonts w:cs="Calibri"/>
              </w:rPr>
              <w:lastRenderedPageBreak/>
              <w:t>The EA does not charge an applicant for employment more than 1 month</w:t>
            </w:r>
            <w:r w:rsidR="00D850A4">
              <w:rPr>
                <w:rFonts w:cs="Calibri"/>
              </w:rPr>
              <w:t>’s</w:t>
            </w:r>
            <w:r w:rsidRPr="00147441">
              <w:rPr>
                <w:rFonts w:cs="Calibri"/>
              </w:rPr>
              <w:t xml:space="preserve"> salary for each year of validity of the applicant’s work pass or period of contract, up to a maximum of 2 months’ salary.</w:t>
            </w:r>
          </w:p>
        </w:tc>
        <w:tc>
          <w:tcPr>
            <w:tcW w:w="850" w:type="dxa"/>
          </w:tcPr>
          <w:p w14:paraId="16007829" w14:textId="77777777" w:rsidR="00147441" w:rsidRPr="00A81B05" w:rsidRDefault="00147441" w:rsidP="00F3031F">
            <w:pPr>
              <w:spacing w:after="0" w:line="264" w:lineRule="auto"/>
              <w:jc w:val="center"/>
              <w:rPr>
                <w:rFonts w:cs="Calibri"/>
              </w:rPr>
            </w:pPr>
          </w:p>
        </w:tc>
        <w:tc>
          <w:tcPr>
            <w:tcW w:w="850" w:type="dxa"/>
          </w:tcPr>
          <w:p w14:paraId="1600782A" w14:textId="77777777" w:rsidR="00147441" w:rsidRPr="00A81B05" w:rsidRDefault="00147441" w:rsidP="00F3031F">
            <w:pPr>
              <w:spacing w:after="0" w:line="264" w:lineRule="auto"/>
              <w:jc w:val="center"/>
              <w:rPr>
                <w:rFonts w:cs="Calibri"/>
              </w:rPr>
            </w:pPr>
          </w:p>
        </w:tc>
      </w:tr>
      <w:tr w:rsidR="00E37D53" w:rsidRPr="00A81B05" w14:paraId="35E21C67" w14:textId="77777777" w:rsidTr="00F3031F">
        <w:tc>
          <w:tcPr>
            <w:tcW w:w="534" w:type="dxa"/>
          </w:tcPr>
          <w:p w14:paraId="268CE2F6" w14:textId="3ABD9B14" w:rsidR="00E37D53" w:rsidRDefault="00E37D53" w:rsidP="00C76B9C">
            <w:pPr>
              <w:spacing w:after="0" w:line="264" w:lineRule="auto"/>
              <w:jc w:val="center"/>
              <w:rPr>
                <w:rFonts w:cs="Calibri"/>
              </w:rPr>
            </w:pPr>
            <w:r>
              <w:rPr>
                <w:rFonts w:cs="Calibri"/>
              </w:rPr>
              <w:t>1</w:t>
            </w:r>
            <w:r w:rsidR="00C76B9C">
              <w:rPr>
                <w:rFonts w:cs="Calibri"/>
              </w:rPr>
              <w:t>2</w:t>
            </w:r>
          </w:p>
        </w:tc>
        <w:tc>
          <w:tcPr>
            <w:tcW w:w="8505" w:type="dxa"/>
          </w:tcPr>
          <w:p w14:paraId="05EBBA95" w14:textId="6185768E" w:rsidR="00E37D53" w:rsidRPr="00147441" w:rsidRDefault="009C4A37" w:rsidP="00F3031F">
            <w:pPr>
              <w:spacing w:after="0" w:line="240" w:lineRule="auto"/>
              <w:rPr>
                <w:rFonts w:cs="Calibri"/>
                <w:color w:val="E36C0A" w:themeColor="accent6" w:themeShade="BF"/>
                <w:u w:val="single"/>
              </w:rPr>
            </w:pPr>
            <w:r>
              <w:rPr>
                <w:rFonts w:cs="Calibri"/>
                <w:color w:val="E36C0A" w:themeColor="accent6" w:themeShade="BF"/>
                <w:u w:val="single"/>
              </w:rPr>
              <w:t>Prescribed Fees</w:t>
            </w:r>
            <w:r w:rsidR="00E37D53" w:rsidRPr="007E4CAF">
              <w:rPr>
                <w:rFonts w:cs="Calibri"/>
                <w:color w:val="F57E1B"/>
                <w:sz w:val="20"/>
                <w:szCs w:val="20"/>
                <w:u w:val="single"/>
              </w:rPr>
              <w:br/>
            </w:r>
            <w:r w:rsidR="00E37D53" w:rsidRPr="009C4A37">
              <w:rPr>
                <w:rFonts w:cs="Calibri"/>
              </w:rPr>
              <w:t>The EA shall not charge or receive any form of fees, remuneration, profit or compensation otherwise than the prescribed fees.</w:t>
            </w:r>
          </w:p>
        </w:tc>
        <w:tc>
          <w:tcPr>
            <w:tcW w:w="850" w:type="dxa"/>
          </w:tcPr>
          <w:p w14:paraId="3F6196FC" w14:textId="77777777" w:rsidR="00E37D53" w:rsidRPr="00A81B05" w:rsidRDefault="00E37D53" w:rsidP="00F3031F">
            <w:pPr>
              <w:spacing w:after="0" w:line="264" w:lineRule="auto"/>
              <w:jc w:val="center"/>
              <w:rPr>
                <w:rFonts w:cs="Calibri"/>
              </w:rPr>
            </w:pPr>
          </w:p>
        </w:tc>
        <w:tc>
          <w:tcPr>
            <w:tcW w:w="850" w:type="dxa"/>
          </w:tcPr>
          <w:p w14:paraId="1DEA0582" w14:textId="77777777" w:rsidR="00E37D53" w:rsidRPr="00A81B05" w:rsidRDefault="00E37D53" w:rsidP="00F3031F">
            <w:pPr>
              <w:spacing w:after="0" w:line="264" w:lineRule="auto"/>
              <w:jc w:val="center"/>
              <w:rPr>
                <w:rFonts w:cs="Calibri"/>
              </w:rPr>
            </w:pPr>
          </w:p>
        </w:tc>
      </w:tr>
      <w:tr w:rsidR="00147441" w:rsidRPr="00147441" w14:paraId="16007832" w14:textId="77777777" w:rsidTr="00F3031F">
        <w:tc>
          <w:tcPr>
            <w:tcW w:w="534" w:type="dxa"/>
          </w:tcPr>
          <w:p w14:paraId="1600782C" w14:textId="11CAC142" w:rsidR="00147441" w:rsidRPr="00147441" w:rsidRDefault="00C76B9C" w:rsidP="00C76B9C">
            <w:pPr>
              <w:spacing w:after="0" w:line="264" w:lineRule="auto"/>
              <w:jc w:val="center"/>
              <w:rPr>
                <w:rFonts w:cs="Calibri"/>
              </w:rPr>
            </w:pPr>
            <w:r>
              <w:rPr>
                <w:rFonts w:cs="Calibri"/>
              </w:rPr>
              <w:t>13</w:t>
            </w:r>
          </w:p>
          <w:p w14:paraId="1600782D" w14:textId="77777777" w:rsidR="00147441" w:rsidRPr="00147441" w:rsidRDefault="00147441" w:rsidP="00C76B9C">
            <w:pPr>
              <w:spacing w:after="0" w:line="264" w:lineRule="auto"/>
              <w:rPr>
                <w:rFonts w:cs="Calibri"/>
              </w:rPr>
            </w:pPr>
          </w:p>
        </w:tc>
        <w:tc>
          <w:tcPr>
            <w:tcW w:w="8505" w:type="dxa"/>
          </w:tcPr>
          <w:p w14:paraId="1600782E" w14:textId="77777777" w:rsidR="00147441" w:rsidRPr="00147441" w:rsidRDefault="00147441" w:rsidP="00F3031F">
            <w:pPr>
              <w:spacing w:after="0" w:line="240" w:lineRule="auto"/>
              <w:rPr>
                <w:rFonts w:cs="Calibri"/>
                <w:color w:val="E36C0A" w:themeColor="accent6" w:themeShade="BF"/>
                <w:u w:val="single"/>
              </w:rPr>
            </w:pPr>
            <w:r w:rsidRPr="00147441">
              <w:rPr>
                <w:rFonts w:cs="Calibri"/>
                <w:color w:val="E36C0A" w:themeColor="accent6" w:themeShade="BF"/>
                <w:u w:val="single"/>
              </w:rPr>
              <w:t>Refund</w:t>
            </w:r>
          </w:p>
          <w:p w14:paraId="1600782F" w14:textId="77777777" w:rsidR="00147441" w:rsidRPr="00147441" w:rsidRDefault="00147441" w:rsidP="00F3031F">
            <w:pPr>
              <w:spacing w:after="0" w:line="240" w:lineRule="auto"/>
              <w:rPr>
                <w:rFonts w:cs="Calibri"/>
                <w:color w:val="E36C0A" w:themeColor="accent6" w:themeShade="BF"/>
                <w:u w:val="single"/>
              </w:rPr>
            </w:pPr>
            <w:r w:rsidRPr="00147441">
              <w:rPr>
                <w:rFonts w:cs="Calibri"/>
              </w:rPr>
              <w:t>The EA refunds at least 50% of fees received from an applicant if the employer fails to employ the applicant or if the employer terminates the employment within 6 months.</w:t>
            </w:r>
          </w:p>
        </w:tc>
        <w:tc>
          <w:tcPr>
            <w:tcW w:w="850" w:type="dxa"/>
          </w:tcPr>
          <w:p w14:paraId="16007830" w14:textId="77777777" w:rsidR="00147441" w:rsidRPr="00147441" w:rsidRDefault="00147441" w:rsidP="00F3031F">
            <w:pPr>
              <w:spacing w:after="0" w:line="264" w:lineRule="auto"/>
              <w:jc w:val="center"/>
              <w:rPr>
                <w:rFonts w:cs="Calibri"/>
              </w:rPr>
            </w:pPr>
          </w:p>
        </w:tc>
        <w:tc>
          <w:tcPr>
            <w:tcW w:w="850" w:type="dxa"/>
          </w:tcPr>
          <w:p w14:paraId="16007831" w14:textId="77777777" w:rsidR="00147441" w:rsidRPr="00147441" w:rsidRDefault="00147441" w:rsidP="00F3031F">
            <w:pPr>
              <w:spacing w:after="0" w:line="264" w:lineRule="auto"/>
              <w:jc w:val="center"/>
              <w:rPr>
                <w:rFonts w:cs="Calibri"/>
              </w:rPr>
            </w:pPr>
          </w:p>
        </w:tc>
      </w:tr>
      <w:tr w:rsidR="00147441" w:rsidRPr="00A81B05" w14:paraId="16007838" w14:textId="77777777" w:rsidTr="00F3031F">
        <w:tc>
          <w:tcPr>
            <w:tcW w:w="534" w:type="dxa"/>
          </w:tcPr>
          <w:p w14:paraId="16007833" w14:textId="040B9EFB" w:rsidR="00147441" w:rsidRPr="00147441" w:rsidRDefault="00C76B9C" w:rsidP="00F3031F">
            <w:pPr>
              <w:spacing w:after="0" w:line="264" w:lineRule="auto"/>
              <w:jc w:val="center"/>
              <w:rPr>
                <w:rFonts w:cs="Calibri"/>
              </w:rPr>
            </w:pPr>
            <w:r>
              <w:rPr>
                <w:rFonts w:cs="Calibri"/>
              </w:rPr>
              <w:t>14</w:t>
            </w:r>
          </w:p>
        </w:tc>
        <w:tc>
          <w:tcPr>
            <w:tcW w:w="8505" w:type="dxa"/>
          </w:tcPr>
          <w:p w14:paraId="16007834" w14:textId="77777777" w:rsidR="00147441" w:rsidRPr="00147441" w:rsidRDefault="00147441" w:rsidP="00F3031F">
            <w:pPr>
              <w:spacing w:after="0" w:line="240" w:lineRule="auto"/>
              <w:rPr>
                <w:rFonts w:cs="Calibri"/>
                <w:color w:val="E36C0A" w:themeColor="accent6" w:themeShade="BF"/>
                <w:u w:val="single"/>
              </w:rPr>
            </w:pPr>
            <w:r w:rsidRPr="00147441">
              <w:rPr>
                <w:rFonts w:cs="Calibri"/>
                <w:color w:val="E36C0A" w:themeColor="accent6" w:themeShade="BF"/>
                <w:u w:val="single"/>
              </w:rPr>
              <w:t>Itemized Receipt</w:t>
            </w:r>
          </w:p>
          <w:p w14:paraId="16007835" w14:textId="77777777" w:rsidR="00147441" w:rsidRPr="00147441" w:rsidRDefault="00147441" w:rsidP="00F3031F">
            <w:pPr>
              <w:spacing w:after="0" w:line="240" w:lineRule="auto"/>
              <w:rPr>
                <w:rFonts w:cs="Calibri"/>
              </w:rPr>
            </w:pPr>
            <w:r w:rsidRPr="00147441">
              <w:rPr>
                <w:rFonts w:cs="Calibri"/>
              </w:rPr>
              <w:t>An itemized receipt for fees received, whether directly or indirectly, is issued to applicant. The receipt should inform the applicant how much the Singapore EA is charging him/her.</w:t>
            </w:r>
          </w:p>
        </w:tc>
        <w:tc>
          <w:tcPr>
            <w:tcW w:w="850" w:type="dxa"/>
          </w:tcPr>
          <w:p w14:paraId="16007836" w14:textId="77777777" w:rsidR="00147441" w:rsidRPr="00A81B05" w:rsidRDefault="00147441" w:rsidP="00F3031F">
            <w:pPr>
              <w:spacing w:after="0" w:line="264" w:lineRule="auto"/>
              <w:jc w:val="center"/>
              <w:rPr>
                <w:rFonts w:cs="Calibri"/>
              </w:rPr>
            </w:pPr>
          </w:p>
        </w:tc>
        <w:tc>
          <w:tcPr>
            <w:tcW w:w="850" w:type="dxa"/>
          </w:tcPr>
          <w:p w14:paraId="16007837" w14:textId="77777777" w:rsidR="00147441" w:rsidRPr="00A81B05" w:rsidRDefault="00147441" w:rsidP="00F3031F">
            <w:pPr>
              <w:spacing w:after="0" w:line="264" w:lineRule="auto"/>
              <w:jc w:val="center"/>
              <w:rPr>
                <w:rFonts w:cs="Calibri"/>
              </w:rPr>
            </w:pPr>
          </w:p>
        </w:tc>
      </w:tr>
      <w:tr w:rsidR="00D850A4" w:rsidRPr="00A81B05" w14:paraId="23AB1605" w14:textId="77777777" w:rsidTr="00C52ED3">
        <w:tc>
          <w:tcPr>
            <w:tcW w:w="10739" w:type="dxa"/>
            <w:gridSpan w:val="4"/>
            <w:tcBorders>
              <w:bottom w:val="single" w:sz="4" w:space="0" w:color="auto"/>
            </w:tcBorders>
            <w:shd w:val="clear" w:color="auto" w:fill="31849B" w:themeFill="accent5" w:themeFillShade="BF"/>
          </w:tcPr>
          <w:p w14:paraId="52084E27" w14:textId="77777777" w:rsidR="00D850A4" w:rsidRPr="00C00DD5" w:rsidRDefault="00D850A4" w:rsidP="00C52ED3">
            <w:pPr>
              <w:spacing w:after="0" w:line="264" w:lineRule="auto"/>
              <w:rPr>
                <w:rFonts w:cs="Calibri"/>
                <w:b/>
                <w:color w:val="FFFFFF"/>
              </w:rPr>
            </w:pPr>
            <w:r>
              <w:rPr>
                <w:rFonts w:cs="Calibri"/>
                <w:b/>
                <w:color w:val="FFFFFF"/>
              </w:rPr>
              <w:t>EA’s Duty of Care to Employers</w:t>
            </w:r>
          </w:p>
        </w:tc>
      </w:tr>
      <w:tr w:rsidR="00D850A4" w:rsidRPr="00A81B05" w14:paraId="473ACD53" w14:textId="77777777" w:rsidTr="00C52ED3">
        <w:tc>
          <w:tcPr>
            <w:tcW w:w="534" w:type="dxa"/>
            <w:tcBorders>
              <w:bottom w:val="single" w:sz="4" w:space="0" w:color="auto"/>
            </w:tcBorders>
          </w:tcPr>
          <w:p w14:paraId="75788E36" w14:textId="36334A7B" w:rsidR="00D850A4" w:rsidRPr="00A81B05" w:rsidRDefault="00C76B9C" w:rsidP="00C52ED3">
            <w:pPr>
              <w:spacing w:after="0" w:line="264" w:lineRule="auto"/>
              <w:jc w:val="center"/>
              <w:rPr>
                <w:rFonts w:cs="Calibri"/>
              </w:rPr>
            </w:pPr>
            <w:r>
              <w:rPr>
                <w:rFonts w:cs="Calibri"/>
              </w:rPr>
              <w:t>15</w:t>
            </w:r>
          </w:p>
        </w:tc>
        <w:tc>
          <w:tcPr>
            <w:tcW w:w="8505" w:type="dxa"/>
            <w:tcBorders>
              <w:bottom w:val="single" w:sz="4" w:space="0" w:color="auto"/>
            </w:tcBorders>
          </w:tcPr>
          <w:p w14:paraId="2CF4AA00" w14:textId="77777777" w:rsidR="00D850A4" w:rsidRPr="00116EFC" w:rsidRDefault="00D850A4" w:rsidP="00C52ED3">
            <w:pPr>
              <w:spacing w:after="0" w:line="240" w:lineRule="auto"/>
              <w:rPr>
                <w:rFonts w:cs="Calibri"/>
                <w:color w:val="E36C0A" w:themeColor="accent6" w:themeShade="BF"/>
                <w:u w:val="single"/>
              </w:rPr>
            </w:pPr>
            <w:r w:rsidRPr="00116EFC">
              <w:rPr>
                <w:rFonts w:cs="Calibri"/>
                <w:color w:val="E36C0A" w:themeColor="accent6" w:themeShade="BF"/>
                <w:u w:val="single"/>
              </w:rPr>
              <w:t>Dispute Resolution Mechanism</w:t>
            </w:r>
            <w:r>
              <w:rPr>
                <w:rFonts w:cs="Calibri"/>
                <w:color w:val="E36C0A" w:themeColor="accent6" w:themeShade="BF"/>
                <w:u w:val="single"/>
              </w:rPr>
              <w:t xml:space="preserve"> </w:t>
            </w:r>
          </w:p>
          <w:p w14:paraId="412A898F" w14:textId="77777777" w:rsidR="00D850A4" w:rsidRPr="00211689" w:rsidRDefault="00D850A4" w:rsidP="00C52ED3">
            <w:pPr>
              <w:spacing w:after="0" w:line="240" w:lineRule="auto"/>
              <w:rPr>
                <w:rFonts w:cs="Calibri"/>
              </w:rPr>
            </w:pPr>
            <w:r w:rsidRPr="00211689">
              <w:rPr>
                <w:rFonts w:cs="Calibri"/>
              </w:rPr>
              <w:t>The EA discloses to clients and applicants for employment the EA’s dispute resolution mechanism prior to engagement of service.</w:t>
            </w:r>
          </w:p>
        </w:tc>
        <w:tc>
          <w:tcPr>
            <w:tcW w:w="850" w:type="dxa"/>
            <w:tcBorders>
              <w:bottom w:val="single" w:sz="4" w:space="0" w:color="auto"/>
            </w:tcBorders>
          </w:tcPr>
          <w:p w14:paraId="17EBF856" w14:textId="77777777" w:rsidR="00D850A4" w:rsidRPr="00A81B05" w:rsidRDefault="00D850A4" w:rsidP="00C52ED3">
            <w:pPr>
              <w:spacing w:after="0" w:line="264" w:lineRule="auto"/>
              <w:jc w:val="center"/>
              <w:rPr>
                <w:rFonts w:cs="Calibri"/>
              </w:rPr>
            </w:pPr>
          </w:p>
        </w:tc>
        <w:tc>
          <w:tcPr>
            <w:tcW w:w="850" w:type="dxa"/>
            <w:tcBorders>
              <w:bottom w:val="single" w:sz="4" w:space="0" w:color="auto"/>
            </w:tcBorders>
          </w:tcPr>
          <w:p w14:paraId="52A2B65C" w14:textId="77777777" w:rsidR="00D850A4" w:rsidRPr="00A81B05" w:rsidRDefault="00D850A4" w:rsidP="00C52ED3">
            <w:pPr>
              <w:spacing w:after="0" w:line="264" w:lineRule="auto"/>
              <w:jc w:val="center"/>
              <w:rPr>
                <w:rFonts w:cs="Calibri"/>
              </w:rPr>
            </w:pPr>
          </w:p>
        </w:tc>
      </w:tr>
      <w:tr w:rsidR="00D850A4" w:rsidRPr="00A81B05" w14:paraId="7FB89A8B" w14:textId="77777777" w:rsidTr="00C52ED3">
        <w:tc>
          <w:tcPr>
            <w:tcW w:w="534" w:type="dxa"/>
          </w:tcPr>
          <w:p w14:paraId="35E3C431" w14:textId="463DF690" w:rsidR="00D850A4" w:rsidRPr="00A81B05" w:rsidRDefault="00C76B9C" w:rsidP="00C52ED3">
            <w:pPr>
              <w:spacing w:after="0" w:line="264" w:lineRule="auto"/>
              <w:jc w:val="center"/>
              <w:rPr>
                <w:rFonts w:cs="Calibri"/>
              </w:rPr>
            </w:pPr>
            <w:r>
              <w:rPr>
                <w:rFonts w:cs="Calibri"/>
              </w:rPr>
              <w:t>16</w:t>
            </w:r>
          </w:p>
        </w:tc>
        <w:tc>
          <w:tcPr>
            <w:tcW w:w="8505" w:type="dxa"/>
          </w:tcPr>
          <w:p w14:paraId="7DEA59DF" w14:textId="77777777" w:rsidR="00D850A4" w:rsidRPr="00116EFC" w:rsidRDefault="00D850A4" w:rsidP="00C52ED3">
            <w:pPr>
              <w:spacing w:after="0" w:line="240" w:lineRule="auto"/>
              <w:rPr>
                <w:rFonts w:cs="Calibri"/>
                <w:color w:val="E36C0A" w:themeColor="accent6" w:themeShade="BF"/>
                <w:u w:val="single"/>
              </w:rPr>
            </w:pPr>
            <w:r>
              <w:rPr>
                <w:rFonts w:cs="Calibri"/>
                <w:color w:val="E36C0A" w:themeColor="accent6" w:themeShade="BF"/>
                <w:u w:val="single"/>
              </w:rPr>
              <w:t xml:space="preserve">Scale of </w:t>
            </w:r>
            <w:r w:rsidRPr="00116EFC">
              <w:rPr>
                <w:rFonts w:cs="Calibri"/>
                <w:color w:val="E36C0A" w:themeColor="accent6" w:themeShade="BF"/>
                <w:u w:val="single"/>
              </w:rPr>
              <w:t>Fees</w:t>
            </w:r>
            <w:r>
              <w:rPr>
                <w:rFonts w:cs="Calibri"/>
                <w:color w:val="E36C0A" w:themeColor="accent6" w:themeShade="BF"/>
                <w:u w:val="single"/>
              </w:rPr>
              <w:t xml:space="preserve"> </w:t>
            </w:r>
          </w:p>
          <w:p w14:paraId="2286CA8E" w14:textId="77777777" w:rsidR="00D850A4" w:rsidRPr="00211689" w:rsidRDefault="00D850A4" w:rsidP="00C52ED3">
            <w:pPr>
              <w:spacing w:after="0" w:line="240" w:lineRule="auto"/>
              <w:rPr>
                <w:rFonts w:cs="Calibri"/>
              </w:rPr>
            </w:pPr>
            <w:r>
              <w:rPr>
                <w:rFonts w:cs="Calibri"/>
              </w:rPr>
              <w:t>The EA clearly communicates in writing the</w:t>
            </w:r>
            <w:r w:rsidRPr="00211689">
              <w:rPr>
                <w:rFonts w:cs="Calibri"/>
              </w:rPr>
              <w:t xml:space="preserve"> scale of fees to be charged to a client or an applicant for employment</w:t>
            </w:r>
            <w:r w:rsidRPr="001C1E01">
              <w:rPr>
                <w:rFonts w:cs="Calibri"/>
              </w:rPr>
              <w:t>. The list of fees should be comprehensive and in</w:t>
            </w:r>
            <w:r>
              <w:rPr>
                <w:rFonts w:cs="Calibri"/>
              </w:rPr>
              <w:t>clude all the chargeable services provided by the EA.</w:t>
            </w:r>
          </w:p>
        </w:tc>
        <w:tc>
          <w:tcPr>
            <w:tcW w:w="850" w:type="dxa"/>
          </w:tcPr>
          <w:p w14:paraId="28157DE2" w14:textId="77777777" w:rsidR="00D850A4" w:rsidRPr="00A81B05" w:rsidRDefault="00D850A4" w:rsidP="00C52ED3">
            <w:pPr>
              <w:spacing w:after="0" w:line="264" w:lineRule="auto"/>
              <w:jc w:val="center"/>
              <w:rPr>
                <w:rFonts w:cs="Calibri"/>
              </w:rPr>
            </w:pPr>
          </w:p>
        </w:tc>
        <w:tc>
          <w:tcPr>
            <w:tcW w:w="850" w:type="dxa"/>
          </w:tcPr>
          <w:p w14:paraId="5B8B07D7" w14:textId="77777777" w:rsidR="00D850A4" w:rsidRPr="00A81B05" w:rsidRDefault="00D850A4" w:rsidP="00C52ED3">
            <w:pPr>
              <w:spacing w:after="0" w:line="264" w:lineRule="auto"/>
              <w:jc w:val="center"/>
              <w:rPr>
                <w:rFonts w:cs="Calibri"/>
              </w:rPr>
            </w:pPr>
          </w:p>
        </w:tc>
      </w:tr>
      <w:tr w:rsidR="00D850A4" w:rsidRPr="00A81B05" w14:paraId="3CF903AE" w14:textId="77777777" w:rsidTr="00C52ED3">
        <w:tc>
          <w:tcPr>
            <w:tcW w:w="534" w:type="dxa"/>
          </w:tcPr>
          <w:p w14:paraId="680DC5B9" w14:textId="61488FDE" w:rsidR="00D850A4" w:rsidRPr="00D850A4" w:rsidRDefault="00C76B9C" w:rsidP="00C52ED3">
            <w:pPr>
              <w:spacing w:after="0" w:line="264" w:lineRule="auto"/>
              <w:jc w:val="center"/>
              <w:rPr>
                <w:rFonts w:cs="Calibri"/>
              </w:rPr>
            </w:pPr>
            <w:r>
              <w:rPr>
                <w:rFonts w:cs="Calibri"/>
              </w:rPr>
              <w:t>17</w:t>
            </w:r>
          </w:p>
          <w:p w14:paraId="73673487" w14:textId="77777777" w:rsidR="00D850A4" w:rsidRPr="00D850A4" w:rsidRDefault="00D850A4" w:rsidP="00C76B9C">
            <w:pPr>
              <w:spacing w:after="0" w:line="264" w:lineRule="auto"/>
              <w:rPr>
                <w:rFonts w:cs="Calibri"/>
              </w:rPr>
            </w:pPr>
          </w:p>
        </w:tc>
        <w:tc>
          <w:tcPr>
            <w:tcW w:w="8505" w:type="dxa"/>
          </w:tcPr>
          <w:p w14:paraId="59571594" w14:textId="09E3A2C7" w:rsidR="00D850A4" w:rsidRPr="00D850A4" w:rsidRDefault="00D850A4" w:rsidP="00C52ED3">
            <w:pPr>
              <w:spacing w:after="0" w:line="240" w:lineRule="auto"/>
              <w:rPr>
                <w:rFonts w:cs="Calibri"/>
              </w:rPr>
            </w:pPr>
            <w:r w:rsidRPr="00D850A4">
              <w:rPr>
                <w:rFonts w:cs="Calibri"/>
              </w:rPr>
              <w:t>If the EA wishes to inform prospective employers of fees, EA must not misrepresent the costs of MOM’s legal or administrative requirements (</w:t>
            </w:r>
            <w:r w:rsidR="00106CAF" w:rsidRPr="00D850A4">
              <w:rPr>
                <w:rFonts w:cs="Calibri"/>
              </w:rPr>
              <w:t>e.g.</w:t>
            </w:r>
            <w:r w:rsidRPr="00D850A4">
              <w:rPr>
                <w:rFonts w:cs="Calibri"/>
              </w:rPr>
              <w:t xml:space="preserve"> Costs of work pass application, etc), and must provide a breakdown of such costs to the prospective employer in writing. </w:t>
            </w:r>
          </w:p>
          <w:p w14:paraId="7CE3B663" w14:textId="77777777" w:rsidR="00D850A4" w:rsidRPr="00D850A4" w:rsidRDefault="00D850A4" w:rsidP="00C52ED3">
            <w:pPr>
              <w:spacing w:after="0" w:line="240" w:lineRule="auto"/>
              <w:rPr>
                <w:rFonts w:cs="Calibri"/>
                <w:color w:val="E36C0A" w:themeColor="accent6" w:themeShade="BF"/>
                <w:u w:val="single"/>
              </w:rPr>
            </w:pPr>
            <w:r w:rsidRPr="00D850A4">
              <w:rPr>
                <w:rFonts w:cs="Calibri"/>
                <w:i/>
                <w:sz w:val="16"/>
                <w:szCs w:val="16"/>
              </w:rPr>
              <w:t>(wef 1 Jul 14)</w:t>
            </w:r>
          </w:p>
        </w:tc>
        <w:tc>
          <w:tcPr>
            <w:tcW w:w="850" w:type="dxa"/>
          </w:tcPr>
          <w:p w14:paraId="46D8FC2F" w14:textId="77777777" w:rsidR="00D850A4" w:rsidRPr="00A81B05" w:rsidRDefault="00D850A4" w:rsidP="00C52ED3">
            <w:pPr>
              <w:spacing w:after="0" w:line="264" w:lineRule="auto"/>
              <w:jc w:val="center"/>
              <w:rPr>
                <w:rFonts w:cs="Calibri"/>
              </w:rPr>
            </w:pPr>
          </w:p>
        </w:tc>
        <w:tc>
          <w:tcPr>
            <w:tcW w:w="850" w:type="dxa"/>
          </w:tcPr>
          <w:p w14:paraId="0D4F799C" w14:textId="77777777" w:rsidR="00D850A4" w:rsidRPr="00A81B05" w:rsidRDefault="00D850A4" w:rsidP="00C52ED3">
            <w:pPr>
              <w:spacing w:after="0" w:line="264" w:lineRule="auto"/>
              <w:jc w:val="center"/>
              <w:rPr>
                <w:rFonts w:cs="Calibri"/>
              </w:rPr>
            </w:pPr>
          </w:p>
        </w:tc>
      </w:tr>
      <w:tr w:rsidR="00D850A4" w:rsidRPr="00A81B05" w14:paraId="6B4C4129" w14:textId="77777777" w:rsidTr="00C52ED3">
        <w:tc>
          <w:tcPr>
            <w:tcW w:w="534" w:type="dxa"/>
          </w:tcPr>
          <w:p w14:paraId="380EF1EB" w14:textId="7D3AF365" w:rsidR="00D850A4" w:rsidRPr="00D850A4" w:rsidRDefault="00E37D53" w:rsidP="00C76B9C">
            <w:pPr>
              <w:spacing w:after="0" w:line="264" w:lineRule="auto"/>
              <w:jc w:val="center"/>
              <w:rPr>
                <w:rFonts w:cs="Calibri"/>
              </w:rPr>
            </w:pPr>
            <w:r>
              <w:rPr>
                <w:rFonts w:cs="Calibri"/>
              </w:rPr>
              <w:t>1</w:t>
            </w:r>
            <w:r w:rsidR="00C76B9C">
              <w:rPr>
                <w:rFonts w:cs="Calibri"/>
              </w:rPr>
              <w:t>8</w:t>
            </w:r>
          </w:p>
        </w:tc>
        <w:tc>
          <w:tcPr>
            <w:tcW w:w="8505" w:type="dxa"/>
          </w:tcPr>
          <w:p w14:paraId="306397B1" w14:textId="77777777" w:rsidR="00D850A4" w:rsidRPr="00D850A4" w:rsidRDefault="00D850A4" w:rsidP="00C52ED3">
            <w:pPr>
              <w:spacing w:after="0" w:line="240" w:lineRule="auto"/>
              <w:rPr>
                <w:rFonts w:cs="Calibri"/>
              </w:rPr>
            </w:pPr>
            <w:r w:rsidRPr="00D850A4">
              <w:rPr>
                <w:rFonts w:cs="Calibri"/>
              </w:rPr>
              <w:t xml:space="preserve">After an employer engages the services of an EA, the EA must sign a written agreement with the employer which clearly states the breakdown of fees payable by the employer for MOM’s legal or administrative requirements. </w:t>
            </w:r>
            <w:r w:rsidRPr="00D850A4">
              <w:rPr>
                <w:rFonts w:cs="Calibri"/>
                <w:i/>
                <w:sz w:val="16"/>
                <w:szCs w:val="16"/>
              </w:rPr>
              <w:t>(wef 1 Jul 14)</w:t>
            </w:r>
          </w:p>
        </w:tc>
        <w:tc>
          <w:tcPr>
            <w:tcW w:w="850" w:type="dxa"/>
          </w:tcPr>
          <w:p w14:paraId="77BF3A8A" w14:textId="77777777" w:rsidR="00D850A4" w:rsidRPr="00A81B05" w:rsidRDefault="00D850A4" w:rsidP="00C52ED3">
            <w:pPr>
              <w:spacing w:after="0" w:line="264" w:lineRule="auto"/>
              <w:jc w:val="center"/>
              <w:rPr>
                <w:rFonts w:cs="Calibri"/>
              </w:rPr>
            </w:pPr>
          </w:p>
        </w:tc>
        <w:tc>
          <w:tcPr>
            <w:tcW w:w="850" w:type="dxa"/>
          </w:tcPr>
          <w:p w14:paraId="7E35A6C8" w14:textId="77777777" w:rsidR="00D850A4" w:rsidRPr="00A81B05" w:rsidRDefault="00D850A4" w:rsidP="00C52ED3">
            <w:pPr>
              <w:spacing w:after="0" w:line="264" w:lineRule="auto"/>
              <w:jc w:val="center"/>
              <w:rPr>
                <w:rFonts w:cs="Calibri"/>
              </w:rPr>
            </w:pPr>
          </w:p>
        </w:tc>
      </w:tr>
    </w:tbl>
    <w:p w14:paraId="16007854" w14:textId="35C974E1" w:rsidR="00E06E9F" w:rsidRPr="00D850A4" w:rsidRDefault="00E06E9F" w:rsidP="00D850A4"/>
    <w:p w14:paraId="1FAF5580" w14:textId="77777777" w:rsidR="006957C0" w:rsidRDefault="006957C0" w:rsidP="006957C0">
      <w:pPr>
        <w:rPr>
          <w:rStyle w:val="Hyperlink"/>
          <w:rFonts w:cs="Calibri"/>
        </w:rPr>
      </w:pPr>
      <w:r>
        <w:rPr>
          <w:rFonts w:cs="Calibri"/>
        </w:rPr>
        <w:t xml:space="preserve">For more information, you can visit our MOM website at the following link: </w:t>
      </w:r>
      <w:hyperlink r:id="rId8" w:history="1">
        <w:r>
          <w:rPr>
            <w:rStyle w:val="Hyperlink"/>
            <w:rFonts w:cs="Calibri"/>
          </w:rPr>
          <w:t>http://www.mom.gov.sg/employment-agencies</w:t>
        </w:r>
      </w:hyperlink>
    </w:p>
    <w:p w14:paraId="16007856" w14:textId="77777777" w:rsidR="00C909CF" w:rsidRDefault="00C964CA">
      <w:pPr>
        <w:rPr>
          <w:rFonts w:cs="Calibri"/>
        </w:rPr>
      </w:pPr>
      <w:r>
        <w:rPr>
          <w:rFonts w:cs="Calibri"/>
          <w:vertAlign w:val="superscript"/>
        </w:rPr>
        <w:t>+</w:t>
      </w:r>
      <w:r w:rsidR="00C909CF">
        <w:rPr>
          <w:rFonts w:cs="Calibri"/>
        </w:rPr>
        <w:t>Please refer to the diagram below depicting regulations governing the EA Registration Card:</w:t>
      </w:r>
    </w:p>
    <w:p w14:paraId="16007857" w14:textId="77777777" w:rsidR="00C71B88" w:rsidRDefault="00A94C7B">
      <w:pPr>
        <w:keepNext/>
      </w:pPr>
      <w:r>
        <w:rPr>
          <w:noProof/>
          <w:lang w:val="en-SG" w:eastAsia="zh-CN"/>
        </w:rPr>
        <w:lastRenderedPageBreak/>
        <w:drawing>
          <wp:inline distT="0" distB="0" distL="0" distR="0" wp14:anchorId="1600785B" wp14:editId="1600785C">
            <wp:extent cx="6858828" cy="2763078"/>
            <wp:effectExtent l="19050" t="0" r="0" b="0"/>
            <wp:docPr id="10" name="Picture 7" descr="C:\Users\momqwc\Documents\Reg C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mqwc\Documents\Reg Card.gif"/>
                    <pic:cNvPicPr>
                      <a:picLocks noChangeAspect="1" noChangeArrowheads="1"/>
                    </pic:cNvPicPr>
                  </pic:nvPicPr>
                  <pic:blipFill>
                    <a:blip r:embed="rId9" cstate="print"/>
                    <a:srcRect t="22680" b="23583"/>
                    <a:stretch>
                      <a:fillRect/>
                    </a:stretch>
                  </pic:blipFill>
                  <pic:spPr bwMode="auto">
                    <a:xfrm>
                      <a:off x="0" y="0"/>
                      <a:ext cx="6858828" cy="2763078"/>
                    </a:xfrm>
                    <a:prstGeom prst="rect">
                      <a:avLst/>
                    </a:prstGeom>
                    <a:noFill/>
                    <a:ln w="9525">
                      <a:noFill/>
                      <a:miter lim="800000"/>
                      <a:headEnd/>
                      <a:tailEnd/>
                    </a:ln>
                  </pic:spPr>
                </pic:pic>
              </a:graphicData>
            </a:graphic>
          </wp:inline>
        </w:drawing>
      </w:r>
    </w:p>
    <w:p w14:paraId="23F1F901" w14:textId="15127F54" w:rsidR="00D850A4" w:rsidRDefault="00D850A4" w:rsidP="00D850A4">
      <w:pPr>
        <w:pStyle w:val="Caption"/>
      </w:pPr>
      <w:r>
        <w:t xml:space="preserve">+ Kindly refer to the schedule of </w:t>
      </w:r>
      <w:r w:rsidRPr="00D850A4">
        <w:rPr>
          <w:u w:val="single"/>
        </w:rPr>
        <w:t>Employment Agencies Rules 2011</w:t>
      </w:r>
      <w:r>
        <w:t xml:space="preserve"> for full specifications</w:t>
      </w:r>
      <w:r w:rsidR="00935F8D">
        <w:t>.</w:t>
      </w:r>
      <w:r>
        <w:t xml:space="preserve"> </w:t>
      </w:r>
    </w:p>
    <w:p w14:paraId="16007858" w14:textId="4F4C4FBB" w:rsidR="00522648" w:rsidRPr="00D850A4" w:rsidRDefault="00522648" w:rsidP="00D850A4">
      <w:pPr>
        <w:pStyle w:val="Caption"/>
        <w:rPr>
          <w:rFonts w:cs="Calibri"/>
          <w:u w:val="single"/>
        </w:rPr>
      </w:pPr>
    </w:p>
    <w:sectPr w:rsidR="00522648" w:rsidRPr="00D850A4" w:rsidSect="0012549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0D41" w14:textId="77777777" w:rsidR="00832DE8" w:rsidRDefault="00832DE8" w:rsidP="00832DE8">
      <w:pPr>
        <w:spacing w:after="0" w:line="240" w:lineRule="auto"/>
      </w:pPr>
      <w:r>
        <w:separator/>
      </w:r>
    </w:p>
  </w:endnote>
  <w:endnote w:type="continuationSeparator" w:id="0">
    <w:p w14:paraId="0F02D2C5" w14:textId="77777777" w:rsidR="00832DE8" w:rsidRDefault="00832DE8" w:rsidP="0083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105C" w14:textId="77777777" w:rsidR="00547CAC" w:rsidRDefault="00547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ED90" w14:textId="77777777" w:rsidR="00547CAC" w:rsidRDefault="00547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E1D0" w14:textId="77777777" w:rsidR="00547CAC" w:rsidRDefault="0054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79E9" w14:textId="77777777" w:rsidR="00832DE8" w:rsidRDefault="00832DE8" w:rsidP="00832DE8">
      <w:pPr>
        <w:spacing w:after="0" w:line="240" w:lineRule="auto"/>
      </w:pPr>
      <w:r>
        <w:separator/>
      </w:r>
    </w:p>
  </w:footnote>
  <w:footnote w:type="continuationSeparator" w:id="0">
    <w:p w14:paraId="01C38E30" w14:textId="77777777" w:rsidR="00832DE8" w:rsidRDefault="00832DE8" w:rsidP="0083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9B84" w14:textId="77777777" w:rsidR="00547CAC" w:rsidRDefault="00547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4F3F" w14:textId="77777777" w:rsidR="00547CAC" w:rsidRDefault="00547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C134" w14:textId="77777777" w:rsidR="00547CAC" w:rsidRDefault="0054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5A4C"/>
    <w:multiLevelType w:val="hybridMultilevel"/>
    <w:tmpl w:val="C988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71B79"/>
    <w:multiLevelType w:val="hybridMultilevel"/>
    <w:tmpl w:val="480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B028A"/>
    <w:multiLevelType w:val="hybridMultilevel"/>
    <w:tmpl w:val="93548A2E"/>
    <w:lvl w:ilvl="0" w:tplc="690C80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E6"/>
    <w:rsid w:val="0003066C"/>
    <w:rsid w:val="000802F2"/>
    <w:rsid w:val="000958B5"/>
    <w:rsid w:val="000959AF"/>
    <w:rsid w:val="000C7E34"/>
    <w:rsid w:val="000D0061"/>
    <w:rsid w:val="000F0BBF"/>
    <w:rsid w:val="000F0D0A"/>
    <w:rsid w:val="001061C9"/>
    <w:rsid w:val="00106CAF"/>
    <w:rsid w:val="00116A18"/>
    <w:rsid w:val="00116D77"/>
    <w:rsid w:val="00116EFC"/>
    <w:rsid w:val="0012549E"/>
    <w:rsid w:val="00143E6E"/>
    <w:rsid w:val="00147441"/>
    <w:rsid w:val="00160200"/>
    <w:rsid w:val="0016050B"/>
    <w:rsid w:val="001632BE"/>
    <w:rsid w:val="00177950"/>
    <w:rsid w:val="00177981"/>
    <w:rsid w:val="00190E4A"/>
    <w:rsid w:val="00192CD9"/>
    <w:rsid w:val="001C1E01"/>
    <w:rsid w:val="00210D6A"/>
    <w:rsid w:val="00211689"/>
    <w:rsid w:val="00217FAA"/>
    <w:rsid w:val="00236E4B"/>
    <w:rsid w:val="00291B88"/>
    <w:rsid w:val="002A11A2"/>
    <w:rsid w:val="00325E55"/>
    <w:rsid w:val="00355373"/>
    <w:rsid w:val="00367715"/>
    <w:rsid w:val="003A6F20"/>
    <w:rsid w:val="003B0C75"/>
    <w:rsid w:val="003B1741"/>
    <w:rsid w:val="003D2BE4"/>
    <w:rsid w:val="003D2F59"/>
    <w:rsid w:val="003F41E9"/>
    <w:rsid w:val="003F7590"/>
    <w:rsid w:val="004009E4"/>
    <w:rsid w:val="0040127F"/>
    <w:rsid w:val="004208CE"/>
    <w:rsid w:val="0043712F"/>
    <w:rsid w:val="0044476E"/>
    <w:rsid w:val="00482DDC"/>
    <w:rsid w:val="004A367C"/>
    <w:rsid w:val="004B4527"/>
    <w:rsid w:val="004E198E"/>
    <w:rsid w:val="004F09EF"/>
    <w:rsid w:val="004F3B4F"/>
    <w:rsid w:val="00522648"/>
    <w:rsid w:val="005326F2"/>
    <w:rsid w:val="00546BE5"/>
    <w:rsid w:val="00547CAC"/>
    <w:rsid w:val="00556F0D"/>
    <w:rsid w:val="00585477"/>
    <w:rsid w:val="005A4980"/>
    <w:rsid w:val="005A60C9"/>
    <w:rsid w:val="005D06E3"/>
    <w:rsid w:val="005D6956"/>
    <w:rsid w:val="005E65EB"/>
    <w:rsid w:val="006045B8"/>
    <w:rsid w:val="006325C1"/>
    <w:rsid w:val="00645981"/>
    <w:rsid w:val="00646EFC"/>
    <w:rsid w:val="00650784"/>
    <w:rsid w:val="006600F6"/>
    <w:rsid w:val="00663D3F"/>
    <w:rsid w:val="0067688F"/>
    <w:rsid w:val="006957C0"/>
    <w:rsid w:val="006B053C"/>
    <w:rsid w:val="006B0FA0"/>
    <w:rsid w:val="006B3DB4"/>
    <w:rsid w:val="006C3F69"/>
    <w:rsid w:val="006C53A6"/>
    <w:rsid w:val="006C6143"/>
    <w:rsid w:val="006E484B"/>
    <w:rsid w:val="007056BF"/>
    <w:rsid w:val="007057DF"/>
    <w:rsid w:val="00706A52"/>
    <w:rsid w:val="00714592"/>
    <w:rsid w:val="00730211"/>
    <w:rsid w:val="0073042C"/>
    <w:rsid w:val="00730473"/>
    <w:rsid w:val="00743648"/>
    <w:rsid w:val="0076108E"/>
    <w:rsid w:val="0077346E"/>
    <w:rsid w:val="007846CF"/>
    <w:rsid w:val="007A511B"/>
    <w:rsid w:val="007C1BBC"/>
    <w:rsid w:val="007D3882"/>
    <w:rsid w:val="007E4D40"/>
    <w:rsid w:val="00805440"/>
    <w:rsid w:val="00832DE8"/>
    <w:rsid w:val="00897A26"/>
    <w:rsid w:val="008B0E68"/>
    <w:rsid w:val="008B5C2E"/>
    <w:rsid w:val="008C0D8D"/>
    <w:rsid w:val="008F21FC"/>
    <w:rsid w:val="00935F8D"/>
    <w:rsid w:val="00961D71"/>
    <w:rsid w:val="0097463E"/>
    <w:rsid w:val="009801D3"/>
    <w:rsid w:val="009C4A37"/>
    <w:rsid w:val="009F45BE"/>
    <w:rsid w:val="00A01AD4"/>
    <w:rsid w:val="00A15A0F"/>
    <w:rsid w:val="00A17D3B"/>
    <w:rsid w:val="00A24821"/>
    <w:rsid w:val="00A4188D"/>
    <w:rsid w:val="00A43CD6"/>
    <w:rsid w:val="00A507D8"/>
    <w:rsid w:val="00A53D53"/>
    <w:rsid w:val="00A715F1"/>
    <w:rsid w:val="00A81B05"/>
    <w:rsid w:val="00A94C7B"/>
    <w:rsid w:val="00AB5DA7"/>
    <w:rsid w:val="00AE2CAD"/>
    <w:rsid w:val="00AE3725"/>
    <w:rsid w:val="00B76AA2"/>
    <w:rsid w:val="00B95FE0"/>
    <w:rsid w:val="00BC183B"/>
    <w:rsid w:val="00BF75AB"/>
    <w:rsid w:val="00C00DD5"/>
    <w:rsid w:val="00C233C5"/>
    <w:rsid w:val="00C251FA"/>
    <w:rsid w:val="00C26D89"/>
    <w:rsid w:val="00C71B88"/>
    <w:rsid w:val="00C76B9C"/>
    <w:rsid w:val="00C909CF"/>
    <w:rsid w:val="00C93348"/>
    <w:rsid w:val="00C964CA"/>
    <w:rsid w:val="00CD233A"/>
    <w:rsid w:val="00CE58E1"/>
    <w:rsid w:val="00CF5783"/>
    <w:rsid w:val="00CF6F1B"/>
    <w:rsid w:val="00D07B24"/>
    <w:rsid w:val="00D35959"/>
    <w:rsid w:val="00D6564A"/>
    <w:rsid w:val="00D82A86"/>
    <w:rsid w:val="00D850A4"/>
    <w:rsid w:val="00D85528"/>
    <w:rsid w:val="00E06E9F"/>
    <w:rsid w:val="00E27016"/>
    <w:rsid w:val="00E342D6"/>
    <w:rsid w:val="00E37D53"/>
    <w:rsid w:val="00E4593E"/>
    <w:rsid w:val="00E74019"/>
    <w:rsid w:val="00E81C71"/>
    <w:rsid w:val="00EA0F98"/>
    <w:rsid w:val="00EB63E6"/>
    <w:rsid w:val="00EC60B3"/>
    <w:rsid w:val="00ED4EF3"/>
    <w:rsid w:val="00ED662E"/>
    <w:rsid w:val="00ED75F4"/>
    <w:rsid w:val="00EE2151"/>
    <w:rsid w:val="00EE6A9F"/>
    <w:rsid w:val="00EF1051"/>
    <w:rsid w:val="00F01A81"/>
    <w:rsid w:val="00F14BDC"/>
    <w:rsid w:val="00F31824"/>
    <w:rsid w:val="00F50E58"/>
    <w:rsid w:val="00F536E8"/>
    <w:rsid w:val="00F61FC0"/>
    <w:rsid w:val="00F812F9"/>
    <w:rsid w:val="00F94647"/>
    <w:rsid w:val="00FD49F8"/>
    <w:rsid w:val="00FE224C"/>
    <w:rsid w:val="00FF6592"/>
    <w:rsid w:val="00FF66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0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6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211"/>
    <w:pPr>
      <w:ind w:left="720"/>
    </w:pPr>
  </w:style>
  <w:style w:type="character" w:styleId="Hyperlink">
    <w:name w:val="Hyperlink"/>
    <w:basedOn w:val="DefaultParagraphFont"/>
    <w:uiPriority w:val="99"/>
    <w:unhideWhenUsed/>
    <w:rsid w:val="00A81B05"/>
    <w:rPr>
      <w:color w:val="0000FF"/>
      <w:u w:val="single"/>
    </w:rPr>
  </w:style>
  <w:style w:type="paragraph" w:styleId="BalloonText">
    <w:name w:val="Balloon Text"/>
    <w:basedOn w:val="Normal"/>
    <w:link w:val="BalloonTextChar"/>
    <w:uiPriority w:val="99"/>
    <w:semiHidden/>
    <w:unhideWhenUsed/>
    <w:rsid w:val="0074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4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045B8"/>
    <w:rPr>
      <w:sz w:val="16"/>
      <w:szCs w:val="16"/>
    </w:rPr>
  </w:style>
  <w:style w:type="paragraph" w:styleId="CommentText">
    <w:name w:val="annotation text"/>
    <w:basedOn w:val="Normal"/>
    <w:link w:val="CommentTextChar"/>
    <w:uiPriority w:val="99"/>
    <w:semiHidden/>
    <w:unhideWhenUsed/>
    <w:rsid w:val="006045B8"/>
    <w:rPr>
      <w:sz w:val="20"/>
      <w:szCs w:val="20"/>
    </w:rPr>
  </w:style>
  <w:style w:type="character" w:customStyle="1" w:styleId="CommentTextChar">
    <w:name w:val="Comment Text Char"/>
    <w:basedOn w:val="DefaultParagraphFont"/>
    <w:link w:val="CommentText"/>
    <w:uiPriority w:val="99"/>
    <w:semiHidden/>
    <w:rsid w:val="006045B8"/>
    <w:rPr>
      <w:lang w:val="en-US" w:eastAsia="en-US"/>
    </w:rPr>
  </w:style>
  <w:style w:type="paragraph" w:styleId="CommentSubject">
    <w:name w:val="annotation subject"/>
    <w:basedOn w:val="CommentText"/>
    <w:next w:val="CommentText"/>
    <w:link w:val="CommentSubjectChar"/>
    <w:uiPriority w:val="99"/>
    <w:semiHidden/>
    <w:unhideWhenUsed/>
    <w:rsid w:val="006045B8"/>
    <w:rPr>
      <w:b/>
      <w:bCs/>
    </w:rPr>
  </w:style>
  <w:style w:type="character" w:customStyle="1" w:styleId="CommentSubjectChar">
    <w:name w:val="Comment Subject Char"/>
    <w:basedOn w:val="CommentTextChar"/>
    <w:link w:val="CommentSubject"/>
    <w:uiPriority w:val="99"/>
    <w:semiHidden/>
    <w:rsid w:val="006045B8"/>
    <w:rPr>
      <w:b/>
      <w:bCs/>
      <w:lang w:val="en-US" w:eastAsia="en-US"/>
    </w:rPr>
  </w:style>
  <w:style w:type="paragraph" w:styleId="Caption">
    <w:name w:val="caption"/>
    <w:basedOn w:val="Normal"/>
    <w:next w:val="Normal"/>
    <w:uiPriority w:val="35"/>
    <w:unhideWhenUsed/>
    <w:qFormat/>
    <w:rsid w:val="00C964CA"/>
    <w:pPr>
      <w:spacing w:line="240" w:lineRule="auto"/>
    </w:pPr>
    <w:rPr>
      <w:b/>
      <w:bCs/>
      <w:color w:val="4F81BD" w:themeColor="accent1"/>
      <w:sz w:val="18"/>
      <w:szCs w:val="18"/>
    </w:rPr>
  </w:style>
  <w:style w:type="paragraph" w:styleId="Revision">
    <w:name w:val="Revision"/>
    <w:hidden/>
    <w:uiPriority w:val="99"/>
    <w:semiHidden/>
    <w:rsid w:val="001632BE"/>
    <w:rPr>
      <w:sz w:val="22"/>
      <w:szCs w:val="22"/>
      <w:lang w:val="en-US" w:eastAsia="en-US"/>
    </w:rPr>
  </w:style>
  <w:style w:type="paragraph" w:styleId="Header">
    <w:name w:val="header"/>
    <w:basedOn w:val="Normal"/>
    <w:link w:val="HeaderChar"/>
    <w:uiPriority w:val="99"/>
    <w:unhideWhenUsed/>
    <w:rsid w:val="00832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E8"/>
    <w:rPr>
      <w:sz w:val="22"/>
      <w:szCs w:val="22"/>
      <w:lang w:val="en-US" w:eastAsia="en-US"/>
    </w:rPr>
  </w:style>
  <w:style w:type="paragraph" w:styleId="Footer">
    <w:name w:val="footer"/>
    <w:basedOn w:val="Normal"/>
    <w:link w:val="FooterChar"/>
    <w:uiPriority w:val="99"/>
    <w:unhideWhenUsed/>
    <w:rsid w:val="00832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E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77469">
      <w:bodyDiv w:val="1"/>
      <w:marLeft w:val="0"/>
      <w:marRight w:val="0"/>
      <w:marTop w:val="0"/>
      <w:marBottom w:val="0"/>
      <w:divBdr>
        <w:top w:val="none" w:sz="0" w:space="0" w:color="auto"/>
        <w:left w:val="none" w:sz="0" w:space="0" w:color="auto"/>
        <w:bottom w:val="none" w:sz="0" w:space="0" w:color="auto"/>
        <w:right w:val="none" w:sz="0" w:space="0" w:color="auto"/>
      </w:divBdr>
      <w:divsChild>
        <w:div w:id="1320303315">
          <w:marLeft w:val="274"/>
          <w:marRight w:val="0"/>
          <w:marTop w:val="77"/>
          <w:marBottom w:val="0"/>
          <w:divBdr>
            <w:top w:val="none" w:sz="0" w:space="0" w:color="auto"/>
            <w:left w:val="none" w:sz="0" w:space="0" w:color="auto"/>
            <w:bottom w:val="none" w:sz="0" w:space="0" w:color="auto"/>
            <w:right w:val="none" w:sz="0" w:space="0" w:color="auto"/>
          </w:divBdr>
        </w:div>
      </w:divsChild>
    </w:div>
    <w:div w:id="1385716079">
      <w:bodyDiv w:val="1"/>
      <w:marLeft w:val="0"/>
      <w:marRight w:val="0"/>
      <w:marTop w:val="0"/>
      <w:marBottom w:val="0"/>
      <w:divBdr>
        <w:top w:val="none" w:sz="0" w:space="0" w:color="auto"/>
        <w:left w:val="none" w:sz="0" w:space="0" w:color="auto"/>
        <w:bottom w:val="none" w:sz="0" w:space="0" w:color="auto"/>
        <w:right w:val="none" w:sz="0" w:space="0" w:color="auto"/>
      </w:divBdr>
    </w:div>
    <w:div w:id="14976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gov.sg/employment-agen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09DE5-7E8B-4AE0-A15B-FACE3DD3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2019-02-14T09:02:00Z</dcterms:created>
  <dcterms:modified xsi:type="dcterms:W3CDTF">2019-02-14T09:04:00Z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