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26" w:rsidRDefault="007A7726" w:rsidP="007A7726">
      <w:pPr>
        <w:spacing w:after="0" w:line="240" w:lineRule="auto"/>
        <w:rPr>
          <w:b/>
          <w:bCs/>
          <w:sz w:val="23"/>
          <w:szCs w:val="23"/>
        </w:rPr>
      </w:pPr>
      <w:bookmarkStart w:id="0" w:name="_GoBack"/>
      <w:bookmarkEnd w:id="0"/>
      <w:r>
        <w:rPr>
          <w:b/>
          <w:bCs/>
          <w:sz w:val="23"/>
          <w:szCs w:val="23"/>
        </w:rPr>
        <w:t xml:space="preserve">Annex: </w:t>
      </w:r>
      <w:r w:rsidR="00E1262E">
        <w:rPr>
          <w:b/>
          <w:bCs/>
          <w:sz w:val="23"/>
          <w:szCs w:val="23"/>
        </w:rPr>
        <w:t xml:space="preserve">Checklist of Safe Management Measures (SMM) </w:t>
      </w:r>
      <w:r w:rsidR="00390126">
        <w:rPr>
          <w:b/>
          <w:bCs/>
          <w:sz w:val="23"/>
          <w:szCs w:val="23"/>
        </w:rPr>
        <w:t>to resume WSH Training</w:t>
      </w:r>
    </w:p>
    <w:p w:rsidR="007A7726" w:rsidRDefault="007A7726" w:rsidP="007A7726">
      <w:pPr>
        <w:spacing w:after="0" w:line="240" w:lineRule="auto"/>
        <w:rPr>
          <w:sz w:val="20"/>
          <w:szCs w:val="20"/>
        </w:rPr>
      </w:pPr>
    </w:p>
    <w:tbl>
      <w:tblPr>
        <w:tblStyle w:val="TableGrid"/>
        <w:tblW w:w="0" w:type="auto"/>
        <w:tblLook w:val="04A0" w:firstRow="1" w:lastRow="0" w:firstColumn="1" w:lastColumn="0" w:noHBand="0" w:noVBand="1"/>
      </w:tblPr>
      <w:tblGrid>
        <w:gridCol w:w="6915"/>
        <w:gridCol w:w="6787"/>
      </w:tblGrid>
      <w:tr w:rsidR="007A7726" w:rsidTr="0081380A">
        <w:trPr>
          <w:trHeight w:val="322"/>
        </w:trPr>
        <w:tc>
          <w:tcPr>
            <w:tcW w:w="69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A7726" w:rsidRPr="0081380A" w:rsidRDefault="007A7726">
            <w:pPr>
              <w:jc w:val="center"/>
              <w:rPr>
                <w:b/>
                <w:bCs/>
                <w:color w:val="FF0000"/>
                <w:sz w:val="28"/>
                <w:szCs w:val="24"/>
              </w:rPr>
            </w:pPr>
            <w:r w:rsidRPr="0081380A">
              <w:rPr>
                <w:b/>
                <w:bCs/>
                <w:sz w:val="28"/>
                <w:szCs w:val="24"/>
              </w:rPr>
              <w:t>Requirement</w:t>
            </w:r>
          </w:p>
        </w:tc>
        <w:tc>
          <w:tcPr>
            <w:tcW w:w="67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A7726" w:rsidRPr="0081380A" w:rsidRDefault="007A7726">
            <w:pPr>
              <w:jc w:val="center"/>
              <w:rPr>
                <w:b/>
                <w:bCs/>
                <w:color w:val="FF0000"/>
                <w:sz w:val="28"/>
                <w:szCs w:val="24"/>
              </w:rPr>
            </w:pPr>
            <w:r w:rsidRPr="0081380A">
              <w:rPr>
                <w:b/>
                <w:bCs/>
                <w:sz w:val="28"/>
                <w:szCs w:val="24"/>
              </w:rPr>
              <w:t>What Training Providers must provide when requested</w:t>
            </w:r>
          </w:p>
        </w:tc>
      </w:tr>
      <w:tr w:rsidR="007A7726" w:rsidTr="002F544F">
        <w:tc>
          <w:tcPr>
            <w:tcW w:w="69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tbl>
            <w:tblPr>
              <w:tblW w:w="0" w:type="auto"/>
              <w:tblLook w:val="04A0" w:firstRow="1" w:lastRow="0" w:firstColumn="1" w:lastColumn="0" w:noHBand="0" w:noVBand="1"/>
            </w:tblPr>
            <w:tblGrid>
              <w:gridCol w:w="6699"/>
            </w:tblGrid>
            <w:tr w:rsidR="007A7726">
              <w:trPr>
                <w:trHeight w:val="1566"/>
              </w:trPr>
              <w:tc>
                <w:tcPr>
                  <w:tcW w:w="0" w:type="auto"/>
                  <w:tcBorders>
                    <w:top w:val="nil"/>
                    <w:left w:val="nil"/>
                    <w:bottom w:val="nil"/>
                    <w:right w:val="nil"/>
                  </w:tcBorders>
                </w:tcPr>
                <w:p w:rsidR="007A7726" w:rsidRDefault="007A7726">
                  <w:pPr>
                    <w:autoSpaceDE w:val="0"/>
                    <w:autoSpaceDN w:val="0"/>
                    <w:adjustRightInd w:val="0"/>
                    <w:spacing w:after="0" w:line="240" w:lineRule="auto"/>
                    <w:ind w:left="-120"/>
                    <w:rPr>
                      <w:rFonts w:ascii="Calibri" w:hAnsi="Calibri" w:cs="Calibri"/>
                      <w:b/>
                      <w:bCs/>
                      <w:color w:val="000000"/>
                      <w:sz w:val="23"/>
                      <w:szCs w:val="23"/>
                      <w:lang w:eastAsia="en-US"/>
                    </w:rPr>
                  </w:pPr>
                  <w:r>
                    <w:rPr>
                      <w:rFonts w:ascii="Calibri" w:hAnsi="Calibri" w:cs="Calibri"/>
                      <w:b/>
                      <w:bCs/>
                      <w:color w:val="000000"/>
                      <w:sz w:val="23"/>
                      <w:szCs w:val="23"/>
                      <w:lang w:eastAsia="en-US"/>
                    </w:rPr>
                    <w:t xml:space="preserve">To resume WSH training activities, all training providers must fulfil these requirements below. </w:t>
                  </w:r>
                </w:p>
                <w:p w:rsidR="007A7726" w:rsidRDefault="007A7726">
                  <w:pPr>
                    <w:autoSpaceDE w:val="0"/>
                    <w:autoSpaceDN w:val="0"/>
                    <w:adjustRightInd w:val="0"/>
                    <w:spacing w:after="0" w:line="240" w:lineRule="auto"/>
                    <w:ind w:left="-120"/>
                    <w:rPr>
                      <w:rFonts w:ascii="Calibri" w:hAnsi="Calibri" w:cs="Calibri"/>
                      <w:color w:val="000000"/>
                      <w:sz w:val="16"/>
                      <w:szCs w:val="16"/>
                      <w:lang w:eastAsia="en-US"/>
                    </w:rPr>
                  </w:pPr>
                </w:p>
                <w:p w:rsidR="007A7726" w:rsidRDefault="007A7726">
                  <w:pPr>
                    <w:autoSpaceDE w:val="0"/>
                    <w:autoSpaceDN w:val="0"/>
                    <w:adjustRightInd w:val="0"/>
                    <w:spacing w:after="0" w:line="240" w:lineRule="auto"/>
                    <w:ind w:left="-120"/>
                    <w:rPr>
                      <w:rFonts w:ascii="Calibri" w:hAnsi="Calibri" w:cs="Calibri"/>
                      <w:color w:val="000000"/>
                      <w:sz w:val="16"/>
                      <w:szCs w:val="16"/>
                      <w:lang w:eastAsia="en-US"/>
                    </w:rPr>
                  </w:pPr>
                  <w:r>
                    <w:rPr>
                      <w:rFonts w:ascii="Calibri" w:hAnsi="Calibri" w:cs="Calibri"/>
                      <w:i/>
                      <w:iCs/>
                      <w:color w:val="000000"/>
                      <w:sz w:val="23"/>
                      <w:szCs w:val="23"/>
                      <w:lang w:eastAsia="en-US"/>
                    </w:rPr>
                    <w:t xml:space="preserve">Note: The relevant government agencies will take actions against errant employers, including the cessation of operations and enforcement. </w:t>
                  </w:r>
                </w:p>
              </w:tc>
            </w:tr>
          </w:tbl>
          <w:p w:rsidR="007A7726" w:rsidRDefault="007A7726">
            <w:pPr>
              <w:rPr>
                <w:rFonts w:eastAsiaTheme="minorEastAsia"/>
              </w:rPr>
            </w:pPr>
          </w:p>
        </w:tc>
        <w:tc>
          <w:tcPr>
            <w:tcW w:w="67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A7726" w:rsidRDefault="007A7726">
            <w:pPr>
              <w:rPr>
                <w:b/>
                <w:bCs/>
              </w:rPr>
            </w:pPr>
            <w:r>
              <w:rPr>
                <w:b/>
                <w:bCs/>
              </w:rPr>
              <w:t>When inspected by any government agency, all Training Providers must be prepared to show that they have fulfilled these requirements.</w:t>
            </w:r>
          </w:p>
        </w:tc>
      </w:tr>
      <w:tr w:rsidR="007A7726" w:rsidTr="004951F4">
        <w:tc>
          <w:tcPr>
            <w:tcW w:w="6915" w:type="dxa"/>
            <w:tcBorders>
              <w:top w:val="single" w:sz="4" w:space="0" w:color="auto"/>
              <w:left w:val="single" w:sz="4" w:space="0" w:color="auto"/>
              <w:bottom w:val="single" w:sz="4" w:space="0" w:color="auto"/>
              <w:right w:val="single" w:sz="4" w:space="0" w:color="auto"/>
            </w:tcBorders>
            <w:hideMark/>
          </w:tcPr>
          <w:p w:rsidR="007A7726" w:rsidRDefault="007A7726" w:rsidP="004951F4">
            <w:pPr>
              <w:pStyle w:val="ListParagraph"/>
              <w:numPr>
                <w:ilvl w:val="0"/>
                <w:numId w:val="3"/>
              </w:numPr>
              <w:spacing w:after="0" w:line="240" w:lineRule="auto"/>
              <w:ind w:left="247" w:hanging="247"/>
              <w:rPr>
                <w:b/>
                <w:bCs/>
              </w:rPr>
            </w:pPr>
            <w:r>
              <w:rPr>
                <w:b/>
                <w:bCs/>
              </w:rPr>
              <w:t>In-Person Training</w:t>
            </w:r>
          </w:p>
        </w:tc>
        <w:tc>
          <w:tcPr>
            <w:tcW w:w="6787" w:type="dxa"/>
            <w:tcBorders>
              <w:top w:val="single" w:sz="4" w:space="0" w:color="auto"/>
              <w:left w:val="single" w:sz="4" w:space="0" w:color="auto"/>
              <w:bottom w:val="single" w:sz="4" w:space="0" w:color="auto"/>
              <w:right w:val="single" w:sz="4" w:space="0" w:color="auto"/>
            </w:tcBorders>
            <w:vAlign w:val="center"/>
          </w:tcPr>
          <w:p w:rsidR="007A7726" w:rsidRDefault="007A7726" w:rsidP="004951F4">
            <w:pPr>
              <w:rPr>
                <w:b/>
                <w:bCs/>
              </w:rPr>
            </w:pPr>
          </w:p>
        </w:tc>
      </w:tr>
      <w:tr w:rsidR="007A7726" w:rsidTr="002F544F">
        <w:trPr>
          <w:trHeight w:val="894"/>
        </w:trPr>
        <w:tc>
          <w:tcPr>
            <w:tcW w:w="6915" w:type="dxa"/>
            <w:tcBorders>
              <w:top w:val="single" w:sz="4" w:space="0" w:color="auto"/>
              <w:left w:val="single" w:sz="4" w:space="0" w:color="auto"/>
              <w:bottom w:val="single" w:sz="4" w:space="0" w:color="auto"/>
              <w:right w:val="single" w:sz="4" w:space="0" w:color="auto"/>
            </w:tcBorders>
          </w:tcPr>
          <w:p w:rsidR="007A7726" w:rsidRDefault="007A7726">
            <w:pPr>
              <w:spacing w:after="0"/>
              <w:ind w:left="-26"/>
              <w:jc w:val="both"/>
              <w:rPr>
                <w:rFonts w:cstheme="minorHAnsi"/>
              </w:rPr>
            </w:pPr>
            <w:r>
              <w:rPr>
                <w:rFonts w:cstheme="minorHAnsi"/>
              </w:rPr>
              <w:t xml:space="preserve">1.  All WSH training providers (TP) must put in place measures to comply with the prevailing safe management measures for the workplaces as stipulated by the Ministry of Manpower (MOM) published guidelines </w:t>
            </w:r>
            <w:hyperlink r:id="rId7" w:history="1">
              <w:r>
                <w:rPr>
                  <w:rStyle w:val="Hyperlink"/>
                  <w:rFonts w:cstheme="minorHAnsi"/>
                  <w:color w:val="0000FF"/>
                </w:rPr>
                <w:t>https://www.mom.gov.sg/covid-19/requirements-for-safe-management-measures</w:t>
              </w:r>
            </w:hyperlink>
          </w:p>
          <w:p w:rsidR="007A7726" w:rsidRDefault="007A7726">
            <w:pPr>
              <w:pStyle w:val="Default"/>
              <w:jc w:val="both"/>
              <w:rPr>
                <w:sz w:val="16"/>
                <w:szCs w:val="16"/>
              </w:rPr>
            </w:pPr>
          </w:p>
        </w:tc>
        <w:tc>
          <w:tcPr>
            <w:tcW w:w="6787" w:type="dxa"/>
            <w:tcBorders>
              <w:top w:val="single" w:sz="4" w:space="0" w:color="auto"/>
              <w:left w:val="single" w:sz="4" w:space="0" w:color="auto"/>
              <w:bottom w:val="single" w:sz="4" w:space="0" w:color="auto"/>
              <w:right w:val="single" w:sz="4" w:space="0" w:color="auto"/>
            </w:tcBorders>
            <w:hideMark/>
          </w:tcPr>
          <w:p w:rsidR="007A7726" w:rsidRDefault="007A7726">
            <w:pPr>
              <w:jc w:val="both"/>
            </w:pPr>
            <w:r>
              <w:t xml:space="preserve">    </w:t>
            </w:r>
          </w:p>
        </w:tc>
      </w:tr>
      <w:tr w:rsidR="007A7726" w:rsidTr="002F544F">
        <w:tc>
          <w:tcPr>
            <w:tcW w:w="6915" w:type="dxa"/>
            <w:tcBorders>
              <w:top w:val="single" w:sz="4" w:space="0" w:color="auto"/>
              <w:left w:val="single" w:sz="4" w:space="0" w:color="auto"/>
              <w:bottom w:val="single" w:sz="4" w:space="0" w:color="auto"/>
              <w:right w:val="single" w:sz="4" w:space="0" w:color="auto"/>
            </w:tcBorders>
          </w:tcPr>
          <w:p w:rsidR="007A7726" w:rsidRDefault="007A7726">
            <w:pPr>
              <w:pStyle w:val="Default"/>
              <w:jc w:val="both"/>
              <w:rPr>
                <w:sz w:val="22"/>
                <w:szCs w:val="22"/>
              </w:rPr>
            </w:pPr>
            <w:r>
              <w:rPr>
                <w:sz w:val="22"/>
                <w:szCs w:val="22"/>
              </w:rPr>
              <w:t xml:space="preserve">2. WSH Training providers are also reminded to implement the use of SafeEntry at the respective workplaces and training premises as mandated by the Ministry of Health (MOH) </w:t>
            </w:r>
            <w:hyperlink r:id="rId8" w:history="1">
              <w:r>
                <w:rPr>
                  <w:rStyle w:val="Hyperlink"/>
                  <w:sz w:val="22"/>
                  <w:szCs w:val="22"/>
                </w:rPr>
                <w:t>https://www.safeentry.gov.sg</w:t>
              </w:r>
            </w:hyperlink>
            <w:r>
              <w:rPr>
                <w:sz w:val="22"/>
                <w:szCs w:val="22"/>
              </w:rPr>
              <w:t>.</w:t>
            </w:r>
          </w:p>
          <w:p w:rsidR="007A7726" w:rsidRDefault="007A7726">
            <w:pPr>
              <w:rPr>
                <w:rFonts w:cstheme="minorHAnsi"/>
                <w:sz w:val="16"/>
                <w:szCs w:val="16"/>
              </w:rPr>
            </w:pPr>
          </w:p>
          <w:p w:rsidR="007A7726" w:rsidRDefault="007A7726">
            <w:pPr>
              <w:tabs>
                <w:tab w:val="left" w:pos="4752"/>
              </w:tabs>
              <w:rPr>
                <w:rFonts w:cstheme="minorHAnsi"/>
                <w:sz w:val="16"/>
                <w:szCs w:val="16"/>
              </w:rPr>
            </w:pPr>
          </w:p>
        </w:tc>
        <w:tc>
          <w:tcPr>
            <w:tcW w:w="6787" w:type="dxa"/>
            <w:tcBorders>
              <w:top w:val="single" w:sz="4" w:space="0" w:color="auto"/>
              <w:left w:val="single" w:sz="4" w:space="0" w:color="auto"/>
              <w:bottom w:val="single" w:sz="4" w:space="0" w:color="auto"/>
              <w:right w:val="single" w:sz="4" w:space="0" w:color="auto"/>
            </w:tcBorders>
            <w:hideMark/>
          </w:tcPr>
          <w:p w:rsidR="007A7726" w:rsidRDefault="007A7726">
            <w:pPr>
              <w:jc w:val="both"/>
            </w:pPr>
            <w:r>
              <w:t xml:space="preserve">Maintaining an updated list of all staff, instructors; facilitators; and learners in an Excel spreadsheet with the following details such as: </w:t>
            </w:r>
          </w:p>
          <w:p w:rsidR="007A7726" w:rsidRDefault="007A7726">
            <w:pPr>
              <w:jc w:val="both"/>
            </w:pPr>
            <w:r>
              <w:t xml:space="preserve">a. Full name            </w:t>
            </w:r>
          </w:p>
          <w:p w:rsidR="007A7726" w:rsidRDefault="007A7726">
            <w:pPr>
              <w:jc w:val="both"/>
            </w:pPr>
            <w:r>
              <w:t>b. NRIC/FIN</w:t>
            </w:r>
          </w:p>
          <w:p w:rsidR="007A7726" w:rsidRDefault="007A7726">
            <w:pPr>
              <w:jc w:val="both"/>
            </w:pPr>
            <w:r>
              <w:t xml:space="preserve">c. Work arrangements (“not working”, “work-from-home”, “onsite (shift work)” or “onsite (non-shift work)”) </w:t>
            </w:r>
          </w:p>
          <w:p w:rsidR="007A7726" w:rsidRDefault="007A7726">
            <w:pPr>
              <w:jc w:val="both"/>
            </w:pPr>
            <w:r>
              <w:t>d. Shift number for arrival/departure at workplace &amp; break hours (if applicable)</w:t>
            </w:r>
          </w:p>
          <w:p w:rsidR="007A7726" w:rsidRDefault="007A7726">
            <w:pPr>
              <w:jc w:val="both"/>
            </w:pPr>
            <w:r>
              <w:t>e. Team number (if applicable)</w:t>
            </w:r>
          </w:p>
          <w:p w:rsidR="000A7559" w:rsidRDefault="000A7559">
            <w:pPr>
              <w:jc w:val="both"/>
              <w:rPr>
                <w:sz w:val="16"/>
                <w:szCs w:val="16"/>
              </w:rPr>
            </w:pPr>
          </w:p>
          <w:p w:rsidR="004F01C0" w:rsidRDefault="004F01C0">
            <w:pPr>
              <w:jc w:val="both"/>
              <w:rPr>
                <w:sz w:val="16"/>
                <w:szCs w:val="16"/>
              </w:rPr>
            </w:pPr>
          </w:p>
          <w:p w:rsidR="006D29B8" w:rsidRDefault="006D29B8">
            <w:pPr>
              <w:jc w:val="both"/>
              <w:rPr>
                <w:sz w:val="16"/>
                <w:szCs w:val="16"/>
              </w:rPr>
            </w:pPr>
          </w:p>
        </w:tc>
      </w:tr>
      <w:tr w:rsidR="007A7726" w:rsidTr="0081380A">
        <w:trPr>
          <w:trHeight w:val="150"/>
        </w:trPr>
        <w:tc>
          <w:tcPr>
            <w:tcW w:w="69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A7726" w:rsidRPr="0081380A" w:rsidRDefault="007A7726">
            <w:pPr>
              <w:jc w:val="center"/>
              <w:rPr>
                <w:b/>
                <w:bCs/>
                <w:sz w:val="28"/>
                <w:szCs w:val="16"/>
              </w:rPr>
            </w:pPr>
            <w:bookmarkStart w:id="1" w:name="_Hlk43218658"/>
            <w:r w:rsidRPr="0081380A">
              <w:rPr>
                <w:b/>
                <w:bCs/>
                <w:sz w:val="28"/>
                <w:szCs w:val="24"/>
              </w:rPr>
              <w:lastRenderedPageBreak/>
              <w:t>Requirement</w:t>
            </w:r>
          </w:p>
        </w:tc>
        <w:tc>
          <w:tcPr>
            <w:tcW w:w="67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A7726" w:rsidRPr="0081380A" w:rsidRDefault="007A7726">
            <w:pPr>
              <w:jc w:val="center"/>
              <w:rPr>
                <w:b/>
                <w:bCs/>
                <w:sz w:val="28"/>
                <w:szCs w:val="24"/>
              </w:rPr>
            </w:pPr>
            <w:r w:rsidRPr="0081380A">
              <w:rPr>
                <w:b/>
                <w:bCs/>
                <w:sz w:val="28"/>
                <w:szCs w:val="24"/>
              </w:rPr>
              <w:t>What Training Providers must show when requested</w:t>
            </w:r>
          </w:p>
        </w:tc>
      </w:tr>
      <w:tr w:rsidR="007A7726" w:rsidTr="002F544F">
        <w:tc>
          <w:tcPr>
            <w:tcW w:w="69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tbl>
            <w:tblPr>
              <w:tblW w:w="0" w:type="auto"/>
              <w:tblLook w:val="04A0" w:firstRow="1" w:lastRow="0" w:firstColumn="1" w:lastColumn="0" w:noHBand="0" w:noVBand="1"/>
            </w:tblPr>
            <w:tblGrid>
              <w:gridCol w:w="6699"/>
            </w:tblGrid>
            <w:tr w:rsidR="007A7726">
              <w:trPr>
                <w:trHeight w:val="1566"/>
              </w:trPr>
              <w:tc>
                <w:tcPr>
                  <w:tcW w:w="0" w:type="auto"/>
                  <w:tcBorders>
                    <w:top w:val="nil"/>
                    <w:left w:val="nil"/>
                    <w:bottom w:val="nil"/>
                    <w:right w:val="nil"/>
                  </w:tcBorders>
                </w:tcPr>
                <w:p w:rsidR="007A7726" w:rsidRDefault="007A7726">
                  <w:pPr>
                    <w:autoSpaceDE w:val="0"/>
                    <w:autoSpaceDN w:val="0"/>
                    <w:adjustRightInd w:val="0"/>
                    <w:spacing w:after="0" w:line="240" w:lineRule="auto"/>
                    <w:ind w:left="-120"/>
                    <w:rPr>
                      <w:rFonts w:ascii="Calibri" w:hAnsi="Calibri" w:cs="Calibri"/>
                      <w:b/>
                      <w:bCs/>
                      <w:color w:val="000000"/>
                      <w:sz w:val="23"/>
                      <w:szCs w:val="23"/>
                      <w:lang w:eastAsia="en-US"/>
                    </w:rPr>
                  </w:pPr>
                  <w:r>
                    <w:rPr>
                      <w:rFonts w:ascii="Calibri" w:hAnsi="Calibri" w:cs="Calibri"/>
                      <w:b/>
                      <w:bCs/>
                      <w:color w:val="000000"/>
                      <w:sz w:val="23"/>
                      <w:szCs w:val="23"/>
                      <w:lang w:eastAsia="en-US"/>
                    </w:rPr>
                    <w:t xml:space="preserve">To resume WSH training activities, all training providers must fulfil these requirements below. </w:t>
                  </w:r>
                </w:p>
                <w:p w:rsidR="007A7726" w:rsidRDefault="007A7726">
                  <w:pPr>
                    <w:autoSpaceDE w:val="0"/>
                    <w:autoSpaceDN w:val="0"/>
                    <w:adjustRightInd w:val="0"/>
                    <w:spacing w:after="0" w:line="240" w:lineRule="auto"/>
                    <w:ind w:left="-120"/>
                    <w:rPr>
                      <w:rFonts w:ascii="Calibri" w:hAnsi="Calibri" w:cs="Calibri"/>
                      <w:color w:val="000000"/>
                      <w:sz w:val="16"/>
                      <w:szCs w:val="16"/>
                      <w:lang w:eastAsia="en-US"/>
                    </w:rPr>
                  </w:pPr>
                </w:p>
                <w:p w:rsidR="007A7726" w:rsidRDefault="007A7726">
                  <w:pPr>
                    <w:autoSpaceDE w:val="0"/>
                    <w:autoSpaceDN w:val="0"/>
                    <w:adjustRightInd w:val="0"/>
                    <w:spacing w:after="0" w:line="240" w:lineRule="auto"/>
                    <w:ind w:left="-120"/>
                    <w:rPr>
                      <w:rFonts w:ascii="Calibri" w:hAnsi="Calibri" w:cs="Calibri"/>
                      <w:i/>
                      <w:iCs/>
                      <w:color w:val="000000"/>
                      <w:sz w:val="23"/>
                      <w:szCs w:val="23"/>
                      <w:lang w:eastAsia="en-US"/>
                    </w:rPr>
                  </w:pPr>
                  <w:r>
                    <w:rPr>
                      <w:rFonts w:ascii="Calibri" w:hAnsi="Calibri" w:cs="Calibri"/>
                      <w:i/>
                      <w:iCs/>
                      <w:color w:val="000000"/>
                      <w:sz w:val="23"/>
                      <w:szCs w:val="23"/>
                      <w:lang w:eastAsia="en-US"/>
                    </w:rPr>
                    <w:t xml:space="preserve">Note: The relevant government agencies will take actions against errant employers, including the cessation of operations and enforcement. </w:t>
                  </w:r>
                </w:p>
                <w:p w:rsidR="007A7726" w:rsidRDefault="007A7726">
                  <w:pPr>
                    <w:tabs>
                      <w:tab w:val="left" w:pos="1313"/>
                    </w:tabs>
                    <w:autoSpaceDE w:val="0"/>
                    <w:autoSpaceDN w:val="0"/>
                    <w:adjustRightInd w:val="0"/>
                    <w:spacing w:after="0" w:line="240" w:lineRule="auto"/>
                    <w:ind w:left="-120"/>
                    <w:rPr>
                      <w:rFonts w:ascii="Calibri" w:hAnsi="Calibri" w:cs="Calibri"/>
                      <w:color w:val="000000"/>
                      <w:sz w:val="16"/>
                      <w:szCs w:val="16"/>
                      <w:lang w:eastAsia="en-US"/>
                    </w:rPr>
                  </w:pPr>
                  <w:r>
                    <w:rPr>
                      <w:rFonts w:ascii="Calibri" w:hAnsi="Calibri" w:cs="Calibri"/>
                      <w:color w:val="000000"/>
                      <w:sz w:val="23"/>
                      <w:szCs w:val="23"/>
                      <w:lang w:eastAsia="en-US"/>
                    </w:rPr>
                    <w:tab/>
                  </w:r>
                </w:p>
              </w:tc>
            </w:tr>
          </w:tbl>
          <w:p w:rsidR="007A7726" w:rsidRDefault="007A7726">
            <w:pPr>
              <w:rPr>
                <w:rFonts w:eastAsiaTheme="minorEastAsia"/>
              </w:rPr>
            </w:pPr>
          </w:p>
        </w:tc>
        <w:tc>
          <w:tcPr>
            <w:tcW w:w="67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A7726" w:rsidRDefault="007A7726">
            <w:pPr>
              <w:rPr>
                <w:b/>
                <w:bCs/>
              </w:rPr>
            </w:pPr>
            <w:r>
              <w:rPr>
                <w:b/>
                <w:bCs/>
              </w:rPr>
              <w:t>When inspected by any government agency, all training providers must be prepared to show that they have fulfilled these requirements.</w:t>
            </w:r>
          </w:p>
        </w:tc>
      </w:tr>
    </w:tbl>
    <w:tbl>
      <w:tblPr>
        <w:tblStyle w:val="TableGrid1"/>
        <w:tblW w:w="0" w:type="auto"/>
        <w:tblLook w:val="04A0" w:firstRow="1" w:lastRow="0" w:firstColumn="1" w:lastColumn="0" w:noHBand="0" w:noVBand="1"/>
      </w:tblPr>
      <w:tblGrid>
        <w:gridCol w:w="6920"/>
        <w:gridCol w:w="6782"/>
      </w:tblGrid>
      <w:tr w:rsidR="007A7726" w:rsidTr="004951F4">
        <w:tc>
          <w:tcPr>
            <w:tcW w:w="7020" w:type="dxa"/>
            <w:tcBorders>
              <w:top w:val="single" w:sz="4" w:space="0" w:color="auto"/>
              <w:left w:val="single" w:sz="4" w:space="0" w:color="auto"/>
              <w:bottom w:val="single" w:sz="4" w:space="0" w:color="auto"/>
              <w:right w:val="single" w:sz="4" w:space="0" w:color="auto"/>
            </w:tcBorders>
            <w:vAlign w:val="center"/>
            <w:hideMark/>
          </w:tcPr>
          <w:p w:rsidR="007A7726" w:rsidRDefault="007A7726" w:rsidP="004951F4">
            <w:pPr>
              <w:rPr>
                <w:b/>
                <w:bCs/>
                <w:sz w:val="16"/>
                <w:szCs w:val="16"/>
              </w:rPr>
            </w:pPr>
            <w:bookmarkStart w:id="2" w:name="_Hlk42505998"/>
            <w:bookmarkStart w:id="3" w:name="_Hlk41905822"/>
            <w:bookmarkStart w:id="4" w:name="_Hlk41903620"/>
            <w:bookmarkEnd w:id="1"/>
            <w:r>
              <w:rPr>
                <w:b/>
                <w:bCs/>
              </w:rPr>
              <w:t>(ii) Safe Training Guidelines</w:t>
            </w:r>
          </w:p>
        </w:tc>
        <w:tc>
          <w:tcPr>
            <w:tcW w:w="6925" w:type="dxa"/>
            <w:tcBorders>
              <w:top w:val="single" w:sz="4" w:space="0" w:color="auto"/>
              <w:left w:val="single" w:sz="4" w:space="0" w:color="auto"/>
              <w:bottom w:val="single" w:sz="4" w:space="0" w:color="auto"/>
              <w:right w:val="single" w:sz="4" w:space="0" w:color="auto"/>
            </w:tcBorders>
          </w:tcPr>
          <w:p w:rsidR="007A7726" w:rsidRDefault="007A7726">
            <w:pPr>
              <w:jc w:val="both"/>
              <w:rPr>
                <w:b/>
                <w:bCs/>
              </w:rPr>
            </w:pPr>
          </w:p>
        </w:tc>
        <w:bookmarkEnd w:id="2"/>
        <w:bookmarkEnd w:id="3"/>
      </w:tr>
      <w:tr w:rsidR="007A7726" w:rsidTr="007A7726">
        <w:trPr>
          <w:trHeight w:val="1522"/>
        </w:trPr>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jc w:val="both"/>
              <w:rPr>
                <w:sz w:val="16"/>
                <w:szCs w:val="16"/>
              </w:rPr>
            </w:pPr>
            <w:r>
              <w:t xml:space="preserve">3. </w:t>
            </w:r>
            <w:r>
              <w:rPr>
                <w:color w:val="000000" w:themeColor="text1"/>
              </w:rPr>
              <w:t xml:space="preserve">WSH TPs will only be allowed to have an onsite workforce that is deemed necessary for the purposes of supporting training activities. This includes skeletal support and trainers/instructional staff. TPs are required to report your manpower details on the GoBusiness website at </w:t>
            </w:r>
            <w:hyperlink r:id="rId9" w:history="1">
              <w:r>
                <w:rPr>
                  <w:rStyle w:val="Hyperlink"/>
                </w:rPr>
                <w:t>https://covid.gobusiness.gov.sg/</w:t>
              </w:r>
            </w:hyperlink>
          </w:p>
        </w:tc>
        <w:tc>
          <w:tcPr>
            <w:tcW w:w="6925" w:type="dxa"/>
            <w:vMerge w:val="restart"/>
            <w:tcBorders>
              <w:top w:val="single" w:sz="4" w:space="0" w:color="auto"/>
              <w:left w:val="single" w:sz="4" w:space="0" w:color="auto"/>
              <w:bottom w:val="single" w:sz="4" w:space="0" w:color="auto"/>
              <w:right w:val="single" w:sz="4" w:space="0" w:color="auto"/>
            </w:tcBorders>
          </w:tcPr>
          <w:p w:rsidR="007A7726" w:rsidRDefault="007A7726">
            <w:r>
              <w:t xml:space="preserve">Show records / attendance of personnel at the workplace and training premises </w:t>
            </w:r>
          </w:p>
          <w:p w:rsidR="007A7726" w:rsidRDefault="007A7726"/>
          <w:p w:rsidR="007A7726" w:rsidRDefault="007A7726">
            <w:r>
              <w:t>Show how safe distancing measures are being carried out at training / practical areas, and other common areas where congregation of learners may occur.</w:t>
            </w:r>
          </w:p>
          <w:p w:rsidR="007A7726" w:rsidRDefault="007A7726">
            <w:r>
              <w:t>Show learner’s individual practical and assessment plan</w:t>
            </w:r>
          </w:p>
        </w:tc>
      </w:tr>
      <w:tr w:rsidR="007A7726" w:rsidTr="007A7726">
        <w:trPr>
          <w:trHeight w:val="902"/>
        </w:trPr>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jc w:val="both"/>
              <w:rPr>
                <w:sz w:val="16"/>
                <w:szCs w:val="16"/>
              </w:rPr>
            </w:pPr>
            <w:r>
              <w:t>4. WSH Training Providers are to refer to the relevant MOM Technical notes Part I/Part II and/or WSQ CS/CTAG for guidance on class sizes, bearing in mind the need to maintain safe distancing of at least 1-metre between learners and instructors</w:t>
            </w:r>
            <w:r>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726" w:rsidRDefault="007A7726">
            <w:pPr>
              <w:spacing w:after="0" w:line="240" w:lineRule="auto"/>
            </w:pPr>
          </w:p>
        </w:tc>
      </w:tr>
      <w:tr w:rsidR="007A7726" w:rsidTr="007A7726">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spacing w:after="0"/>
              <w:jc w:val="both"/>
            </w:pPr>
            <w:r>
              <w:t>5. WSH Training Providers are to increase the frequency and intensity of cleaning/sanitising common touch points found on equipment and training aids based on frequency of use. This is particularly important during shift/split team changeovers and at the end of practical training session. (</w:t>
            </w:r>
            <w:r w:rsidR="004E049C">
              <w:t>Adhere</w:t>
            </w:r>
            <w:r>
              <w:t xml:space="preserve"> to sanitation and hygiene advisories disseminated by the NEA</w:t>
            </w:r>
            <w:r>
              <w:rPr>
                <w:color w:val="000000" w:themeColor="text1"/>
                <w:vertAlign w:val="superscript"/>
              </w:rPr>
              <w:t>2</w:t>
            </w:r>
            <w:r>
              <w:t>). Such Equipment and Training Aids include (non-exhaustive):</w:t>
            </w:r>
          </w:p>
          <w:p w:rsidR="007A7726" w:rsidRDefault="007A7726" w:rsidP="00105468">
            <w:pPr>
              <w:pStyle w:val="ListParagraph"/>
              <w:numPr>
                <w:ilvl w:val="0"/>
                <w:numId w:val="4"/>
              </w:numPr>
              <w:spacing w:after="0"/>
              <w:ind w:left="248" w:hanging="248"/>
              <w:jc w:val="both"/>
            </w:pPr>
            <w:r>
              <w:t>Hand-held – Measuring instruments, Explosive power tool</w:t>
            </w:r>
          </w:p>
          <w:p w:rsidR="007A7726" w:rsidRDefault="007A7726" w:rsidP="00105468">
            <w:pPr>
              <w:pStyle w:val="ListParagraph"/>
              <w:numPr>
                <w:ilvl w:val="0"/>
                <w:numId w:val="4"/>
              </w:numPr>
              <w:spacing w:after="0"/>
              <w:ind w:left="248" w:hanging="248"/>
              <w:jc w:val="both"/>
            </w:pPr>
            <w:r>
              <w:t>Machineries – MEWP, Cranes, Lifting Machines / Appliances, Hot-work machines</w:t>
            </w:r>
          </w:p>
          <w:p w:rsidR="007A7726" w:rsidRDefault="007A7726" w:rsidP="00105468">
            <w:pPr>
              <w:pStyle w:val="ListParagraph"/>
              <w:numPr>
                <w:ilvl w:val="0"/>
                <w:numId w:val="4"/>
              </w:numPr>
              <w:spacing w:after="0"/>
              <w:ind w:left="248" w:hanging="248"/>
              <w:jc w:val="both"/>
            </w:pPr>
            <w:r>
              <w:t xml:space="preserve">Structures – Scaffold, Simulators, Permanent chambers </w:t>
            </w:r>
          </w:p>
          <w:p w:rsidR="007A7726" w:rsidRDefault="007A7726" w:rsidP="00105468">
            <w:pPr>
              <w:pStyle w:val="ListParagraph"/>
              <w:numPr>
                <w:ilvl w:val="0"/>
                <w:numId w:val="4"/>
              </w:numPr>
              <w:spacing w:after="0"/>
              <w:ind w:left="248" w:hanging="248"/>
              <w:jc w:val="both"/>
            </w:pPr>
            <w:r>
              <w:t>PPE – Helmets, Gloves, Eye googles, Safety Harnesses, Shoes</w:t>
            </w:r>
          </w:p>
          <w:p w:rsidR="00105468" w:rsidRPr="006D29B8" w:rsidRDefault="007A7726" w:rsidP="00CF08E8">
            <w:pPr>
              <w:pStyle w:val="ListParagraph"/>
              <w:numPr>
                <w:ilvl w:val="0"/>
                <w:numId w:val="4"/>
              </w:numPr>
              <w:spacing w:after="0" w:line="240" w:lineRule="auto"/>
              <w:ind w:left="248" w:hanging="248"/>
              <w:jc w:val="both"/>
              <w:rPr>
                <w:sz w:val="16"/>
                <w:szCs w:val="16"/>
              </w:rPr>
            </w:pPr>
            <w:r>
              <w:t>Training aids – Manikin, Equipment Models</w:t>
            </w:r>
          </w:p>
          <w:p w:rsidR="002F544F" w:rsidRPr="00105468" w:rsidRDefault="002F544F" w:rsidP="00105468">
            <w:pPr>
              <w:spacing w:after="0" w:line="240" w:lineRule="auto"/>
              <w:jc w:val="both"/>
              <w:rPr>
                <w:sz w:val="16"/>
                <w:szCs w:val="16"/>
              </w:rPr>
            </w:pPr>
          </w:p>
        </w:tc>
        <w:tc>
          <w:tcPr>
            <w:tcW w:w="6925" w:type="dxa"/>
            <w:tcBorders>
              <w:top w:val="single" w:sz="4" w:space="0" w:color="auto"/>
              <w:left w:val="single" w:sz="4" w:space="0" w:color="auto"/>
              <w:bottom w:val="single" w:sz="4" w:space="0" w:color="auto"/>
              <w:right w:val="single" w:sz="4" w:space="0" w:color="auto"/>
            </w:tcBorders>
            <w:hideMark/>
          </w:tcPr>
          <w:p w:rsidR="007A7726" w:rsidRDefault="007A7726">
            <w:r>
              <w:t>Show cleaning schedules, maintenance regime and any other relevant instructions /documents from cleaning service provider.</w:t>
            </w:r>
          </w:p>
        </w:tc>
      </w:tr>
    </w:tbl>
    <w:tbl>
      <w:tblPr>
        <w:tblStyle w:val="TableGrid"/>
        <w:tblW w:w="0" w:type="auto"/>
        <w:tblLook w:val="04A0" w:firstRow="1" w:lastRow="0" w:firstColumn="1" w:lastColumn="0" w:noHBand="0" w:noVBand="1"/>
      </w:tblPr>
      <w:tblGrid>
        <w:gridCol w:w="6900"/>
        <w:gridCol w:w="6802"/>
      </w:tblGrid>
      <w:tr w:rsidR="007A7726" w:rsidTr="0081380A">
        <w:trPr>
          <w:trHeight w:val="40"/>
        </w:trPr>
        <w:tc>
          <w:tcPr>
            <w:tcW w:w="7020" w:type="dxa"/>
            <w:tcBorders>
              <w:top w:val="single" w:sz="4" w:space="0" w:color="auto"/>
              <w:left w:val="single" w:sz="4" w:space="0" w:color="auto"/>
              <w:bottom w:val="single" w:sz="4" w:space="0" w:color="auto"/>
              <w:right w:val="single" w:sz="4" w:space="0" w:color="auto"/>
            </w:tcBorders>
            <w:shd w:val="clear" w:color="auto" w:fill="E7E6E6" w:themeFill="background2"/>
            <w:hideMark/>
          </w:tcPr>
          <w:bookmarkEnd w:id="4"/>
          <w:p w:rsidR="007A7726" w:rsidRPr="0081380A" w:rsidRDefault="007A7726">
            <w:pPr>
              <w:jc w:val="center"/>
              <w:rPr>
                <w:rFonts w:eastAsiaTheme="minorEastAsia"/>
                <w:b/>
                <w:bCs/>
                <w:sz w:val="28"/>
                <w:szCs w:val="16"/>
              </w:rPr>
            </w:pPr>
            <w:r w:rsidRPr="0081380A">
              <w:rPr>
                <w:b/>
                <w:bCs/>
                <w:sz w:val="28"/>
                <w:szCs w:val="24"/>
              </w:rPr>
              <w:lastRenderedPageBreak/>
              <w:t>Requirement</w:t>
            </w:r>
          </w:p>
        </w:tc>
        <w:tc>
          <w:tcPr>
            <w:tcW w:w="69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A7726" w:rsidRPr="0081380A" w:rsidRDefault="007A7726">
            <w:pPr>
              <w:jc w:val="center"/>
              <w:rPr>
                <w:b/>
                <w:bCs/>
                <w:sz w:val="28"/>
                <w:szCs w:val="24"/>
              </w:rPr>
            </w:pPr>
            <w:r w:rsidRPr="0081380A">
              <w:rPr>
                <w:b/>
                <w:bCs/>
                <w:sz w:val="28"/>
                <w:szCs w:val="24"/>
              </w:rPr>
              <w:t>What Training Providers must show when requested</w:t>
            </w:r>
          </w:p>
        </w:tc>
      </w:tr>
      <w:tr w:rsidR="007A7726" w:rsidTr="007A7726">
        <w:tc>
          <w:tcPr>
            <w:tcW w:w="70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tbl>
            <w:tblPr>
              <w:tblW w:w="0" w:type="auto"/>
              <w:tblLook w:val="04A0" w:firstRow="1" w:lastRow="0" w:firstColumn="1" w:lastColumn="0" w:noHBand="0" w:noVBand="1"/>
            </w:tblPr>
            <w:tblGrid>
              <w:gridCol w:w="6684"/>
            </w:tblGrid>
            <w:tr w:rsidR="007A7726">
              <w:trPr>
                <w:trHeight w:val="1566"/>
              </w:trPr>
              <w:tc>
                <w:tcPr>
                  <w:tcW w:w="0" w:type="auto"/>
                  <w:tcBorders>
                    <w:top w:val="nil"/>
                    <w:left w:val="nil"/>
                    <w:bottom w:val="nil"/>
                    <w:right w:val="nil"/>
                  </w:tcBorders>
                </w:tcPr>
                <w:p w:rsidR="007A7726" w:rsidRDefault="007A7726">
                  <w:pPr>
                    <w:autoSpaceDE w:val="0"/>
                    <w:autoSpaceDN w:val="0"/>
                    <w:adjustRightInd w:val="0"/>
                    <w:spacing w:after="0" w:line="240" w:lineRule="auto"/>
                    <w:ind w:left="-120"/>
                    <w:rPr>
                      <w:rFonts w:ascii="Calibri" w:hAnsi="Calibri" w:cs="Calibri"/>
                      <w:b/>
                      <w:bCs/>
                      <w:color w:val="000000"/>
                      <w:sz w:val="23"/>
                      <w:szCs w:val="23"/>
                      <w:lang w:eastAsia="en-US"/>
                    </w:rPr>
                  </w:pPr>
                  <w:r>
                    <w:rPr>
                      <w:rFonts w:ascii="Calibri" w:hAnsi="Calibri" w:cs="Calibri"/>
                      <w:b/>
                      <w:bCs/>
                      <w:color w:val="000000"/>
                      <w:sz w:val="23"/>
                      <w:szCs w:val="23"/>
                      <w:lang w:eastAsia="en-US"/>
                    </w:rPr>
                    <w:t xml:space="preserve">To resume WSH training activities, all training providers must fulfil these requirements below. </w:t>
                  </w:r>
                </w:p>
                <w:p w:rsidR="007A7726" w:rsidRDefault="007A7726">
                  <w:pPr>
                    <w:autoSpaceDE w:val="0"/>
                    <w:autoSpaceDN w:val="0"/>
                    <w:adjustRightInd w:val="0"/>
                    <w:spacing w:after="0" w:line="240" w:lineRule="auto"/>
                    <w:ind w:left="-120"/>
                    <w:rPr>
                      <w:rFonts w:ascii="Calibri" w:hAnsi="Calibri" w:cs="Calibri"/>
                      <w:color w:val="000000"/>
                      <w:sz w:val="16"/>
                      <w:szCs w:val="16"/>
                      <w:lang w:eastAsia="en-US"/>
                    </w:rPr>
                  </w:pPr>
                </w:p>
                <w:p w:rsidR="007A7726" w:rsidRDefault="007A7726">
                  <w:pPr>
                    <w:autoSpaceDE w:val="0"/>
                    <w:autoSpaceDN w:val="0"/>
                    <w:adjustRightInd w:val="0"/>
                    <w:spacing w:after="0" w:line="240" w:lineRule="auto"/>
                    <w:ind w:left="-120"/>
                    <w:rPr>
                      <w:rFonts w:ascii="Calibri" w:hAnsi="Calibri" w:cs="Calibri"/>
                      <w:i/>
                      <w:iCs/>
                      <w:color w:val="000000"/>
                      <w:sz w:val="23"/>
                      <w:szCs w:val="23"/>
                      <w:lang w:eastAsia="en-US"/>
                    </w:rPr>
                  </w:pPr>
                  <w:r>
                    <w:rPr>
                      <w:rFonts w:ascii="Calibri" w:hAnsi="Calibri" w:cs="Calibri"/>
                      <w:i/>
                      <w:iCs/>
                      <w:color w:val="000000"/>
                      <w:sz w:val="23"/>
                      <w:szCs w:val="23"/>
                      <w:lang w:eastAsia="en-US"/>
                    </w:rPr>
                    <w:t xml:space="preserve">Note: The relevant government agencies will take actions against errant employers, including the cessation of operations and enforcement. </w:t>
                  </w:r>
                </w:p>
                <w:p w:rsidR="007A7726" w:rsidRDefault="007A7726">
                  <w:pPr>
                    <w:tabs>
                      <w:tab w:val="left" w:pos="1313"/>
                    </w:tabs>
                    <w:autoSpaceDE w:val="0"/>
                    <w:autoSpaceDN w:val="0"/>
                    <w:adjustRightInd w:val="0"/>
                    <w:spacing w:after="0" w:line="240" w:lineRule="auto"/>
                    <w:ind w:left="-120"/>
                    <w:rPr>
                      <w:rFonts w:ascii="Calibri" w:hAnsi="Calibri" w:cs="Calibri"/>
                      <w:color w:val="000000"/>
                      <w:sz w:val="16"/>
                      <w:szCs w:val="16"/>
                      <w:lang w:eastAsia="en-US"/>
                    </w:rPr>
                  </w:pPr>
                  <w:r>
                    <w:rPr>
                      <w:rFonts w:ascii="Calibri" w:hAnsi="Calibri" w:cs="Calibri"/>
                      <w:color w:val="000000"/>
                      <w:sz w:val="23"/>
                      <w:szCs w:val="23"/>
                      <w:lang w:eastAsia="en-US"/>
                    </w:rPr>
                    <w:tab/>
                  </w:r>
                </w:p>
              </w:tc>
            </w:tr>
          </w:tbl>
          <w:p w:rsidR="007A7726" w:rsidRDefault="007A7726">
            <w:pPr>
              <w:rPr>
                <w:rFonts w:eastAsiaTheme="minorEastAsia"/>
              </w:rPr>
            </w:pPr>
          </w:p>
        </w:tc>
        <w:tc>
          <w:tcPr>
            <w:tcW w:w="69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A7726" w:rsidRDefault="007A7726">
            <w:pPr>
              <w:rPr>
                <w:b/>
                <w:bCs/>
              </w:rPr>
            </w:pPr>
            <w:r>
              <w:rPr>
                <w:b/>
                <w:bCs/>
              </w:rPr>
              <w:t>When inspected by any government agency, all training providers must be prepared to show that they have fulfilled these requirements.</w:t>
            </w:r>
          </w:p>
        </w:tc>
      </w:tr>
    </w:tbl>
    <w:tbl>
      <w:tblPr>
        <w:tblStyle w:val="TableGrid1"/>
        <w:tblW w:w="0" w:type="auto"/>
        <w:tblLook w:val="04A0" w:firstRow="1" w:lastRow="0" w:firstColumn="1" w:lastColumn="0" w:noHBand="0" w:noVBand="1"/>
      </w:tblPr>
      <w:tblGrid>
        <w:gridCol w:w="6911"/>
        <w:gridCol w:w="6791"/>
      </w:tblGrid>
      <w:tr w:rsidR="007A7726" w:rsidTr="006D29B8">
        <w:trPr>
          <w:trHeight w:val="2166"/>
        </w:trPr>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spacing w:after="0"/>
              <w:jc w:val="both"/>
              <w:rPr>
                <w:sz w:val="8"/>
                <w:szCs w:val="8"/>
              </w:rPr>
            </w:pPr>
            <w:r>
              <w:t>6. WSH Training providers (TP) should continue to adopt e-learning to the maximum extent for Supervisor, Manager and WSH Professional courses. TPs that have not been approved to conduct e-learning may submit their e-learning proposals to the WSHC CPT Branch for evaluation.</w:t>
            </w:r>
          </w:p>
          <w:p w:rsidR="007A7726" w:rsidRDefault="001C4377" w:rsidP="006D29B8">
            <w:pPr>
              <w:spacing w:after="0"/>
              <w:rPr>
                <w:sz w:val="16"/>
                <w:szCs w:val="16"/>
              </w:rPr>
            </w:pPr>
            <w:r>
              <w:object w:dxaOrig="1068" w:dyaOrig="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8.25pt" o:ole="">
                  <v:imagedata r:id="rId10" o:title=""/>
                </v:shape>
                <o:OLEObject Type="Embed" ProgID="AcroExch.Document.2017" ShapeID="_x0000_i1025" DrawAspect="Icon" ObjectID="_1654589050" r:id="rId11"/>
              </w:object>
            </w:r>
          </w:p>
        </w:tc>
        <w:tc>
          <w:tcPr>
            <w:tcW w:w="6925" w:type="dxa"/>
            <w:tcBorders>
              <w:top w:val="single" w:sz="4" w:space="0" w:color="auto"/>
              <w:left w:val="single" w:sz="4" w:space="0" w:color="auto"/>
              <w:bottom w:val="single" w:sz="4" w:space="0" w:color="auto"/>
              <w:right w:val="single" w:sz="4" w:space="0" w:color="auto"/>
            </w:tcBorders>
          </w:tcPr>
          <w:p w:rsidR="007A7726" w:rsidRDefault="007A7726">
            <w:pPr>
              <w:jc w:val="both"/>
            </w:pPr>
          </w:p>
        </w:tc>
      </w:tr>
      <w:tr w:rsidR="007A7726" w:rsidTr="007A7726">
        <w:trPr>
          <w:trHeight w:val="1665"/>
        </w:trPr>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spacing w:after="0"/>
              <w:jc w:val="both"/>
              <w:rPr>
                <w:color w:val="FF0000"/>
              </w:rPr>
            </w:pPr>
            <w:r>
              <w:t xml:space="preserve">7. For WSH courses residing under the WSQ framework(s), ATOs should abide by SkillsFuture Singapore (SSG)’s </w:t>
            </w:r>
            <w:r w:rsidR="006D29B8">
              <w:t>update on</w:t>
            </w:r>
            <w:r>
              <w:t xml:space="preserve"> the arrangements for Continuing Education Training (CET) activ</w:t>
            </w:r>
            <w:r w:rsidR="00C24B0B">
              <w:t xml:space="preserve">ities issued on 18 June 2020. Please refer to </w:t>
            </w:r>
            <w:hyperlink r:id="rId12" w:history="1">
              <w:r w:rsidR="00C24B0B" w:rsidRPr="00C24B0B">
                <w:rPr>
                  <w:rStyle w:val="Hyperlink"/>
                </w:rPr>
                <w:t>SSG website</w:t>
              </w:r>
            </w:hyperlink>
            <w:r w:rsidR="00C24B0B">
              <w:t xml:space="preserve"> for more information.</w:t>
            </w:r>
          </w:p>
          <w:p w:rsidR="007A7726" w:rsidRDefault="001F14F4" w:rsidP="00992FC1">
            <w:pPr>
              <w:spacing w:after="0"/>
              <w:jc w:val="both"/>
              <w:rPr>
                <w:sz w:val="16"/>
                <w:szCs w:val="16"/>
              </w:rPr>
            </w:pPr>
            <w:r>
              <w:rPr>
                <w:sz w:val="16"/>
                <w:szCs w:val="16"/>
              </w:rPr>
              <w:object w:dxaOrig="1068" w:dyaOrig="712">
                <v:shape id="_x0000_i1026" type="#_x0000_t75" style="width:60.75pt;height:39.75pt" o:ole="">
                  <v:imagedata r:id="rId13" o:title=""/>
                </v:shape>
                <o:OLEObject Type="Embed" ProgID="AcroExch.Document.2017" ShapeID="_x0000_i1026" DrawAspect="Icon" ObjectID="_1654589051" r:id="rId14"/>
              </w:object>
            </w:r>
          </w:p>
        </w:tc>
        <w:tc>
          <w:tcPr>
            <w:tcW w:w="6925" w:type="dxa"/>
            <w:tcBorders>
              <w:top w:val="single" w:sz="4" w:space="0" w:color="auto"/>
              <w:left w:val="single" w:sz="4" w:space="0" w:color="auto"/>
              <w:bottom w:val="single" w:sz="4" w:space="0" w:color="auto"/>
              <w:right w:val="single" w:sz="4" w:space="0" w:color="auto"/>
            </w:tcBorders>
          </w:tcPr>
          <w:p w:rsidR="007A7726" w:rsidRDefault="007A7726">
            <w:pPr>
              <w:jc w:val="both"/>
            </w:pPr>
          </w:p>
        </w:tc>
      </w:tr>
      <w:tr w:rsidR="007A7726" w:rsidTr="007A7726">
        <w:trPr>
          <w:trHeight w:val="872"/>
        </w:trPr>
        <w:tc>
          <w:tcPr>
            <w:tcW w:w="7020" w:type="dxa"/>
            <w:tcBorders>
              <w:top w:val="single" w:sz="4" w:space="0" w:color="auto"/>
              <w:left w:val="single" w:sz="4" w:space="0" w:color="auto"/>
              <w:bottom w:val="single" w:sz="4" w:space="0" w:color="auto"/>
              <w:right w:val="single" w:sz="4" w:space="0" w:color="auto"/>
            </w:tcBorders>
            <w:hideMark/>
          </w:tcPr>
          <w:p w:rsidR="007A7726" w:rsidRDefault="007A7726">
            <w:pPr>
              <w:spacing w:after="0"/>
              <w:jc w:val="both"/>
            </w:pPr>
            <w:r>
              <w:t>8. For Occupational First-Aid Course (OFAC), training providers must abide by Singapore Resuscitation and First Aid Council (SRFAC)’s update on Resu</w:t>
            </w:r>
            <w:r w:rsidR="006D38AF">
              <w:t>ming Training Safely issued on 23</w:t>
            </w:r>
            <w:r>
              <w:t xml:space="preserve"> June 2020. </w:t>
            </w:r>
            <w:r w:rsidR="00C24B0B">
              <w:t xml:space="preserve">Please refer to </w:t>
            </w:r>
            <w:hyperlink r:id="rId15" w:history="1">
              <w:r w:rsidR="00C24B0B" w:rsidRPr="00C24B0B">
                <w:rPr>
                  <w:rStyle w:val="Hyperlink"/>
                </w:rPr>
                <w:t>SRFAC</w:t>
              </w:r>
            </w:hyperlink>
            <w:r w:rsidR="00C24B0B">
              <w:t xml:space="preserve"> website for more information.</w:t>
            </w:r>
          </w:p>
          <w:p w:rsidR="006D29B8" w:rsidRDefault="006D38AF">
            <w:pPr>
              <w:spacing w:after="0"/>
              <w:jc w:val="both"/>
            </w:pPr>
            <w:r>
              <w:rPr>
                <w:sz w:val="16"/>
                <w:szCs w:val="16"/>
              </w:rPr>
              <w:object w:dxaOrig="1508" w:dyaOrig="984">
                <v:shape id="_x0000_i1027" type="#_x0000_t75" style="width:68.25pt;height:44.25pt" o:ole="">
                  <v:imagedata r:id="rId16" o:title=""/>
                </v:shape>
                <o:OLEObject Type="Embed" ProgID="AcroExch.Document.2017" ShapeID="_x0000_i1027" DrawAspect="Icon" ObjectID="_1654589052" r:id="rId17"/>
              </w:object>
            </w:r>
          </w:p>
          <w:p w:rsidR="007A7726" w:rsidRDefault="007A7726">
            <w:pPr>
              <w:spacing w:after="0"/>
              <w:jc w:val="both"/>
              <w:rPr>
                <w:sz w:val="16"/>
                <w:szCs w:val="16"/>
              </w:rPr>
            </w:pPr>
          </w:p>
        </w:tc>
        <w:tc>
          <w:tcPr>
            <w:tcW w:w="6925" w:type="dxa"/>
            <w:tcBorders>
              <w:top w:val="single" w:sz="4" w:space="0" w:color="auto"/>
              <w:left w:val="single" w:sz="4" w:space="0" w:color="auto"/>
              <w:bottom w:val="single" w:sz="4" w:space="0" w:color="auto"/>
              <w:right w:val="single" w:sz="4" w:space="0" w:color="auto"/>
            </w:tcBorders>
          </w:tcPr>
          <w:p w:rsidR="007A7726" w:rsidRDefault="007A7726">
            <w:pPr>
              <w:jc w:val="both"/>
            </w:pPr>
          </w:p>
        </w:tc>
      </w:tr>
    </w:tbl>
    <w:p w:rsidR="007A7726" w:rsidRDefault="007A7726" w:rsidP="007A7726">
      <w:pPr>
        <w:spacing w:after="0" w:line="240" w:lineRule="auto"/>
      </w:pPr>
      <w:r>
        <w:t>______________________________________</w:t>
      </w:r>
    </w:p>
    <w:p w:rsidR="007A7726" w:rsidRDefault="007A7726" w:rsidP="007A7726">
      <w:pPr>
        <w:spacing w:after="0" w:line="240" w:lineRule="auto"/>
        <w:rPr>
          <w:sz w:val="18"/>
          <w:szCs w:val="18"/>
        </w:rPr>
      </w:pPr>
      <w:r>
        <w:rPr>
          <w:sz w:val="18"/>
          <w:szCs w:val="18"/>
          <w:vertAlign w:val="superscript"/>
        </w:rPr>
        <w:t>1</w:t>
      </w:r>
      <w:r>
        <w:rPr>
          <w:sz w:val="18"/>
          <w:szCs w:val="18"/>
        </w:rPr>
        <w:t xml:space="preserve"> Class is defined as the same instructor(s), facilitators, learners assigned to a specific physical space, using the same equipment(s) and training aid(s).</w:t>
      </w:r>
    </w:p>
    <w:p w:rsidR="000A1398" w:rsidRDefault="007A7726" w:rsidP="007A7726">
      <w:pPr>
        <w:spacing w:after="0" w:line="240" w:lineRule="auto"/>
      </w:pPr>
      <w:r>
        <w:rPr>
          <w:sz w:val="18"/>
          <w:szCs w:val="18"/>
          <w:vertAlign w:val="superscript"/>
        </w:rPr>
        <w:t xml:space="preserve">2 </w:t>
      </w:r>
      <w:r>
        <w:rPr>
          <w:sz w:val="18"/>
          <w:szCs w:val="18"/>
        </w:rPr>
        <w:t>https://www.nea.gov.sg/our-services/public-cleanliness/environmental-cleaning-guidelines</w:t>
      </w:r>
    </w:p>
    <w:sectPr w:rsidR="000A1398" w:rsidSect="00C24B0B">
      <w:footerReference w:type="default" r:id="rId18"/>
      <w:pgSz w:w="15840" w:h="12240" w:orient="landscape"/>
      <w:pgMar w:top="851" w:right="1135" w:bottom="1276" w:left="993"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220" w:rsidRDefault="00C83220" w:rsidP="00B72BCD">
      <w:pPr>
        <w:spacing w:after="0" w:line="240" w:lineRule="auto"/>
      </w:pPr>
      <w:r>
        <w:separator/>
      </w:r>
    </w:p>
  </w:endnote>
  <w:endnote w:type="continuationSeparator" w:id="0">
    <w:p w:rsidR="00C83220" w:rsidRDefault="00C83220" w:rsidP="00B7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26" w:rsidRPr="004E049C" w:rsidRDefault="007A7726">
    <w:pPr>
      <w:pStyle w:val="Footer"/>
      <w:jc w:val="center"/>
      <w:rPr>
        <w:sz w:val="20"/>
      </w:rPr>
    </w:pPr>
    <w:r w:rsidRPr="004E049C">
      <w:rPr>
        <w:sz w:val="20"/>
      </w:rPr>
      <w:t xml:space="preserve">Page </w:t>
    </w:r>
    <w:sdt>
      <w:sdtPr>
        <w:rPr>
          <w:sz w:val="20"/>
        </w:rPr>
        <w:id w:val="2114936681"/>
        <w:docPartObj>
          <w:docPartGallery w:val="Page Numbers (Bottom of Page)"/>
          <w:docPartUnique/>
        </w:docPartObj>
      </w:sdtPr>
      <w:sdtEndPr>
        <w:rPr>
          <w:noProof/>
        </w:rPr>
      </w:sdtEndPr>
      <w:sdtContent>
        <w:r w:rsidRPr="004E049C">
          <w:rPr>
            <w:sz w:val="20"/>
          </w:rPr>
          <w:fldChar w:fldCharType="begin"/>
        </w:r>
        <w:r w:rsidRPr="004E049C">
          <w:rPr>
            <w:sz w:val="20"/>
          </w:rPr>
          <w:instrText xml:space="preserve"> PAGE   \* MERGEFORMAT </w:instrText>
        </w:r>
        <w:r w:rsidRPr="004E049C">
          <w:rPr>
            <w:sz w:val="20"/>
          </w:rPr>
          <w:fldChar w:fldCharType="separate"/>
        </w:r>
        <w:r w:rsidR="001F14F4">
          <w:rPr>
            <w:noProof/>
            <w:sz w:val="20"/>
          </w:rPr>
          <w:t>1</w:t>
        </w:r>
        <w:r w:rsidRPr="004E049C">
          <w:rPr>
            <w:noProof/>
            <w:sz w:val="20"/>
          </w:rPr>
          <w:fldChar w:fldCharType="end"/>
        </w:r>
        <w:r w:rsidRPr="004E049C">
          <w:rPr>
            <w:noProof/>
            <w:sz w:val="20"/>
          </w:rPr>
          <w:t xml:space="preserve"> of 3</w:t>
        </w:r>
      </w:sdtContent>
    </w:sdt>
  </w:p>
  <w:p w:rsidR="007A7726" w:rsidRDefault="007A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220" w:rsidRDefault="00C83220" w:rsidP="00B72BCD">
      <w:pPr>
        <w:spacing w:after="0" w:line="240" w:lineRule="auto"/>
      </w:pPr>
      <w:r>
        <w:separator/>
      </w:r>
    </w:p>
  </w:footnote>
  <w:footnote w:type="continuationSeparator" w:id="0">
    <w:p w:rsidR="00C83220" w:rsidRDefault="00C83220" w:rsidP="00B7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52BF1"/>
    <w:multiLevelType w:val="hybridMultilevel"/>
    <w:tmpl w:val="9014E920"/>
    <w:lvl w:ilvl="0" w:tplc="2B826E60">
      <w:start w:val="1"/>
      <w:numFmt w:val="bullet"/>
      <w:lvlText w:val=""/>
      <w:lvlJc w:val="left"/>
      <w:pPr>
        <w:ind w:left="1216" w:hanging="360"/>
      </w:pPr>
      <w:rPr>
        <w:rFonts w:ascii="Symbol" w:hAnsi="Symbol" w:hint="default"/>
        <w:sz w:val="22"/>
        <w:szCs w:val="22"/>
      </w:rPr>
    </w:lvl>
    <w:lvl w:ilvl="1" w:tplc="48090003" w:tentative="1">
      <w:start w:val="1"/>
      <w:numFmt w:val="bullet"/>
      <w:lvlText w:val="o"/>
      <w:lvlJc w:val="left"/>
      <w:pPr>
        <w:ind w:left="1936" w:hanging="360"/>
      </w:pPr>
      <w:rPr>
        <w:rFonts w:ascii="Courier New" w:hAnsi="Courier New" w:cs="Courier New" w:hint="default"/>
      </w:rPr>
    </w:lvl>
    <w:lvl w:ilvl="2" w:tplc="48090005" w:tentative="1">
      <w:start w:val="1"/>
      <w:numFmt w:val="bullet"/>
      <w:lvlText w:val=""/>
      <w:lvlJc w:val="left"/>
      <w:pPr>
        <w:ind w:left="2656" w:hanging="360"/>
      </w:pPr>
      <w:rPr>
        <w:rFonts w:ascii="Wingdings" w:hAnsi="Wingdings" w:hint="default"/>
      </w:rPr>
    </w:lvl>
    <w:lvl w:ilvl="3" w:tplc="48090001" w:tentative="1">
      <w:start w:val="1"/>
      <w:numFmt w:val="bullet"/>
      <w:lvlText w:val=""/>
      <w:lvlJc w:val="left"/>
      <w:pPr>
        <w:ind w:left="3376" w:hanging="360"/>
      </w:pPr>
      <w:rPr>
        <w:rFonts w:ascii="Symbol" w:hAnsi="Symbol" w:hint="default"/>
      </w:rPr>
    </w:lvl>
    <w:lvl w:ilvl="4" w:tplc="48090003" w:tentative="1">
      <w:start w:val="1"/>
      <w:numFmt w:val="bullet"/>
      <w:lvlText w:val="o"/>
      <w:lvlJc w:val="left"/>
      <w:pPr>
        <w:ind w:left="4096" w:hanging="360"/>
      </w:pPr>
      <w:rPr>
        <w:rFonts w:ascii="Courier New" w:hAnsi="Courier New" w:cs="Courier New" w:hint="default"/>
      </w:rPr>
    </w:lvl>
    <w:lvl w:ilvl="5" w:tplc="48090005" w:tentative="1">
      <w:start w:val="1"/>
      <w:numFmt w:val="bullet"/>
      <w:lvlText w:val=""/>
      <w:lvlJc w:val="left"/>
      <w:pPr>
        <w:ind w:left="4816" w:hanging="360"/>
      </w:pPr>
      <w:rPr>
        <w:rFonts w:ascii="Wingdings" w:hAnsi="Wingdings" w:hint="default"/>
      </w:rPr>
    </w:lvl>
    <w:lvl w:ilvl="6" w:tplc="48090001" w:tentative="1">
      <w:start w:val="1"/>
      <w:numFmt w:val="bullet"/>
      <w:lvlText w:val=""/>
      <w:lvlJc w:val="left"/>
      <w:pPr>
        <w:ind w:left="5536" w:hanging="360"/>
      </w:pPr>
      <w:rPr>
        <w:rFonts w:ascii="Symbol" w:hAnsi="Symbol" w:hint="default"/>
      </w:rPr>
    </w:lvl>
    <w:lvl w:ilvl="7" w:tplc="48090003" w:tentative="1">
      <w:start w:val="1"/>
      <w:numFmt w:val="bullet"/>
      <w:lvlText w:val="o"/>
      <w:lvlJc w:val="left"/>
      <w:pPr>
        <w:ind w:left="6256" w:hanging="360"/>
      </w:pPr>
      <w:rPr>
        <w:rFonts w:ascii="Courier New" w:hAnsi="Courier New" w:cs="Courier New" w:hint="default"/>
      </w:rPr>
    </w:lvl>
    <w:lvl w:ilvl="8" w:tplc="48090005" w:tentative="1">
      <w:start w:val="1"/>
      <w:numFmt w:val="bullet"/>
      <w:lvlText w:val=""/>
      <w:lvlJc w:val="left"/>
      <w:pPr>
        <w:ind w:left="6976" w:hanging="360"/>
      </w:pPr>
      <w:rPr>
        <w:rFonts w:ascii="Wingdings" w:hAnsi="Wingdings" w:hint="default"/>
      </w:rPr>
    </w:lvl>
  </w:abstractNum>
  <w:abstractNum w:abstractNumId="1" w15:restartNumberingAfterBreak="0">
    <w:nsid w:val="5DDA3126"/>
    <w:multiLevelType w:val="hybridMultilevel"/>
    <w:tmpl w:val="A4828100"/>
    <w:lvl w:ilvl="0" w:tplc="03F2A9E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CD"/>
    <w:rsid w:val="00037A4C"/>
    <w:rsid w:val="000A1398"/>
    <w:rsid w:val="000A4EC0"/>
    <w:rsid w:val="000A7559"/>
    <w:rsid w:val="00105468"/>
    <w:rsid w:val="00112621"/>
    <w:rsid w:val="001C4377"/>
    <w:rsid w:val="001F14F4"/>
    <w:rsid w:val="002E26B7"/>
    <w:rsid w:val="002F544F"/>
    <w:rsid w:val="00390126"/>
    <w:rsid w:val="004951F4"/>
    <w:rsid w:val="004E049C"/>
    <w:rsid w:val="004E2E4B"/>
    <w:rsid w:val="004F01C0"/>
    <w:rsid w:val="005A1A49"/>
    <w:rsid w:val="006D0CCE"/>
    <w:rsid w:val="006D29B8"/>
    <w:rsid w:val="006D38AF"/>
    <w:rsid w:val="007A7726"/>
    <w:rsid w:val="007B27C0"/>
    <w:rsid w:val="0081380A"/>
    <w:rsid w:val="0086396C"/>
    <w:rsid w:val="00877159"/>
    <w:rsid w:val="008F4AE2"/>
    <w:rsid w:val="00992FC1"/>
    <w:rsid w:val="00993843"/>
    <w:rsid w:val="009A2345"/>
    <w:rsid w:val="00B72BCD"/>
    <w:rsid w:val="00C24B0B"/>
    <w:rsid w:val="00C7652E"/>
    <w:rsid w:val="00C83220"/>
    <w:rsid w:val="00D21307"/>
    <w:rsid w:val="00D43E65"/>
    <w:rsid w:val="00D521B2"/>
    <w:rsid w:val="00E05078"/>
    <w:rsid w:val="00E1262E"/>
    <w:rsid w:val="00E57D18"/>
    <w:rsid w:val="00EB63DF"/>
    <w:rsid w:val="00F112FE"/>
    <w:rsid w:val="00F375E9"/>
    <w:rsid w:val="00FF14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2BC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CD"/>
    <w:pPr>
      <w:ind w:left="720"/>
      <w:contextualSpacing/>
    </w:pPr>
  </w:style>
  <w:style w:type="character" w:styleId="Hyperlink">
    <w:name w:val="Hyperlink"/>
    <w:basedOn w:val="DefaultParagraphFont"/>
    <w:uiPriority w:val="99"/>
    <w:unhideWhenUsed/>
    <w:rsid w:val="00B72BCD"/>
    <w:rPr>
      <w:color w:val="0563C1" w:themeColor="hyperlink"/>
      <w:u w:val="single"/>
    </w:rPr>
  </w:style>
  <w:style w:type="table" w:styleId="TableGrid">
    <w:name w:val="Table Grid"/>
    <w:basedOn w:val="TableNormal"/>
    <w:uiPriority w:val="39"/>
    <w:rsid w:val="00B72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BCD"/>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B72B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DF"/>
    <w:rPr>
      <w:rFonts w:asciiTheme="minorHAnsi" w:hAnsiTheme="minorHAnsi" w:cstheme="minorBidi"/>
      <w:sz w:val="22"/>
      <w:szCs w:val="22"/>
    </w:rPr>
  </w:style>
  <w:style w:type="paragraph" w:styleId="Footer">
    <w:name w:val="footer"/>
    <w:basedOn w:val="Normal"/>
    <w:link w:val="FooterChar"/>
    <w:uiPriority w:val="99"/>
    <w:rsid w:val="00EB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D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entry.gov.sg"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c01.safelinks.protection.outlook.com/?url=https%3A%2F%2Fwww.mom.gov.sg%2Fcovid-19%2Frequirements-for-safe-management-measures&amp;data=02%7C01%7Cstefan_goh%40wshc.sg%7C9a3079eb63ce4b06fc4e08d808f51f50%7C0af12b508f1940928ace4dce8f8253e0%7C0%7C0%7C637269196180764221&amp;sdata=PJ5SZw9gHxKpe%2FZ9cd30Q1RWSHxQDmtBJ4bLB2hx8wE%3D&amp;reserved=0" TargetMode="External"/><Relationship Id="rId12" Type="http://schemas.openxmlformats.org/officeDocument/2006/relationships/hyperlink" Target="https://www.skillsconnect.gov.sg/sop/WebPageHandler?processName=WP_ListOfAnnouncement&amp;project=L3E&amp;seqid=100000010014725"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srfac.sg/news/"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vid.gobusiness.gov.s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2020-06-25T03:17:00Z</dcterms:created>
  <dcterms:modified xsi:type="dcterms:W3CDTF">2020-06-25T03:17:00Z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momcl2@soe.sgnet.gov.sg</vt:lpwstr>
  </property>
  <property fmtid="{D5CDD505-2E9C-101B-9397-08002B2CF9AE}" pid="5" name="MSIP_Label_3f9331f7-95a2-472a-92bc-d73219eb516b_SetDate">
    <vt:lpwstr>2020-06-25T03:17:57.9694923Z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3e98a3f1-d1d6-42e9-8efe-b6364703b100</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momcl2@soe.sgnet.gov.sg</vt:lpwstr>
  </property>
  <property fmtid="{D5CDD505-2E9C-101B-9397-08002B2CF9AE}" pid="13" name="MSIP_Label_4f288355-fb4c-44cd-b9ca-40cfc2aee5f8_SetDate">
    <vt:lpwstr>2020-06-25T03:17:57.9694923Z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3e98a3f1-d1d6-42e9-8efe-b6364703b100</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